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B3E1A" w14:textId="77777777" w:rsidR="00550527" w:rsidRDefault="00550527" w:rsidP="00550527">
      <w:pPr>
        <w:jc w:val="center"/>
        <w:rPr>
          <w:b/>
          <w:sz w:val="32"/>
        </w:rPr>
      </w:pPr>
      <w:r>
        <w:rPr>
          <w:b/>
          <w:sz w:val="32"/>
        </w:rPr>
        <w:t>SUPPLEMENTARY MATERIAL</w:t>
      </w:r>
    </w:p>
    <w:p w14:paraId="221A4968" w14:textId="77777777" w:rsidR="00550527" w:rsidRDefault="00550527" w:rsidP="00550527">
      <w:pPr>
        <w:jc w:val="center"/>
        <w:rPr>
          <w:b/>
        </w:rPr>
      </w:pPr>
    </w:p>
    <w:p w14:paraId="266D7548" w14:textId="77777777" w:rsidR="00550527" w:rsidRPr="006A02CB" w:rsidRDefault="00550527" w:rsidP="00550527">
      <w:pPr>
        <w:spacing w:line="480" w:lineRule="auto"/>
        <w:jc w:val="center"/>
        <w:rPr>
          <w:b/>
        </w:rPr>
      </w:pPr>
      <w:r w:rsidRPr="006A02CB">
        <w:rPr>
          <w:b/>
        </w:rPr>
        <w:t>EGFR alterations influence the cetuximab treatment response and c-MET tyrosine-kinase inhibitor sensitivity in experimental head and neck squamous cell carcinomas</w:t>
      </w:r>
    </w:p>
    <w:p w14:paraId="50391FC0" w14:textId="77777777" w:rsidR="00550527" w:rsidRPr="006A02CB" w:rsidRDefault="00550527" w:rsidP="00550527">
      <w:pPr>
        <w:spacing w:line="480" w:lineRule="auto"/>
        <w:jc w:val="center"/>
      </w:pPr>
    </w:p>
    <w:p w14:paraId="1D141141" w14:textId="77777777" w:rsidR="00FA5828" w:rsidRPr="006A02CB" w:rsidRDefault="00FA5828" w:rsidP="00FA5828">
      <w:pPr>
        <w:spacing w:line="480" w:lineRule="auto"/>
        <w:jc w:val="center"/>
        <w:rPr>
          <w:vertAlign w:val="superscript"/>
        </w:rPr>
      </w:pPr>
      <w:proofErr w:type="spellStart"/>
      <w:r w:rsidRPr="006A02CB">
        <w:t>Györgyi</w:t>
      </w:r>
      <w:proofErr w:type="spellEnd"/>
      <w:r w:rsidRPr="006A02CB">
        <w:t xml:space="preserve"> A. Nelhűbel</w:t>
      </w:r>
      <w:r w:rsidRPr="006A02CB">
        <w:rPr>
          <w:vertAlign w:val="superscript"/>
        </w:rPr>
        <w:t>1</w:t>
      </w:r>
      <w:r>
        <w:rPr>
          <w:vertAlign w:val="superscript"/>
        </w:rPr>
        <w:t>,2</w:t>
      </w:r>
      <w:r w:rsidRPr="006A02CB">
        <w:t xml:space="preserve">, </w:t>
      </w:r>
      <w:proofErr w:type="spellStart"/>
      <w:r w:rsidRPr="006A02CB">
        <w:t>Mihály</w:t>
      </w:r>
      <w:proofErr w:type="spellEnd"/>
      <w:r w:rsidRPr="006A02CB">
        <w:t xml:space="preserve"> Cserepes</w:t>
      </w:r>
      <w:r w:rsidRPr="006A02CB">
        <w:rPr>
          <w:vertAlign w:val="superscript"/>
        </w:rPr>
        <w:t>1</w:t>
      </w:r>
      <w:r w:rsidRPr="006A02CB">
        <w:t xml:space="preserve">, </w:t>
      </w:r>
      <w:proofErr w:type="spellStart"/>
      <w:r w:rsidRPr="006A02CB">
        <w:t>Balázs</w:t>
      </w:r>
      <w:proofErr w:type="spellEnd"/>
      <w:r w:rsidRPr="006A02CB">
        <w:t xml:space="preserve"> Szabó</w:t>
      </w:r>
      <w:r>
        <w:rPr>
          <w:vertAlign w:val="superscript"/>
        </w:rPr>
        <w:t>3</w:t>
      </w:r>
      <w:r w:rsidRPr="006A02CB">
        <w:t xml:space="preserve">, </w:t>
      </w:r>
      <w:proofErr w:type="spellStart"/>
      <w:r w:rsidRPr="006A02CB">
        <w:t>Dóra</w:t>
      </w:r>
      <w:proofErr w:type="spellEnd"/>
      <w:r w:rsidRPr="006A02CB">
        <w:t xml:space="preserve"> Türk</w:t>
      </w:r>
      <w:r w:rsidRPr="006A02CB">
        <w:rPr>
          <w:vertAlign w:val="superscript"/>
        </w:rPr>
        <w:t>1</w:t>
      </w:r>
      <w:r w:rsidRPr="006A02CB">
        <w:t xml:space="preserve">, </w:t>
      </w:r>
      <w:proofErr w:type="spellStart"/>
      <w:r w:rsidRPr="006A02CB">
        <w:t>Adél</w:t>
      </w:r>
      <w:proofErr w:type="spellEnd"/>
      <w:r w:rsidRPr="006A02CB">
        <w:t xml:space="preserve"> Kárpáti</w:t>
      </w:r>
      <w:r w:rsidRPr="006A02CB">
        <w:rPr>
          <w:vertAlign w:val="superscript"/>
        </w:rPr>
        <w:t>1</w:t>
      </w:r>
      <w:r w:rsidRPr="006A02CB">
        <w:t xml:space="preserve">, </w:t>
      </w:r>
      <w:proofErr w:type="spellStart"/>
      <w:r w:rsidRPr="006A02CB">
        <w:t>István</w:t>
      </w:r>
      <w:proofErr w:type="spellEnd"/>
      <w:r w:rsidRPr="006A02CB">
        <w:t xml:space="preserve"> Kenessey</w:t>
      </w:r>
      <w:r>
        <w:rPr>
          <w:vertAlign w:val="superscript"/>
        </w:rPr>
        <w:t>4</w:t>
      </w:r>
      <w:r w:rsidRPr="006A02CB">
        <w:rPr>
          <w:vertAlign w:val="superscript"/>
        </w:rPr>
        <w:t>,</w:t>
      </w:r>
      <w:r>
        <w:rPr>
          <w:vertAlign w:val="superscript"/>
        </w:rPr>
        <w:t>5</w:t>
      </w:r>
      <w:r w:rsidRPr="006A02CB">
        <w:t xml:space="preserve">, </w:t>
      </w:r>
      <w:proofErr w:type="spellStart"/>
      <w:r w:rsidRPr="006A02CB">
        <w:t>Erzsébet</w:t>
      </w:r>
      <w:proofErr w:type="spellEnd"/>
      <w:r w:rsidRPr="006A02CB">
        <w:t xml:space="preserve"> Rásó</w:t>
      </w:r>
      <w:r>
        <w:rPr>
          <w:vertAlign w:val="superscript"/>
        </w:rPr>
        <w:t>4</w:t>
      </w:r>
      <w:r w:rsidRPr="006A02CB">
        <w:t xml:space="preserve">, </w:t>
      </w:r>
      <w:proofErr w:type="spellStart"/>
      <w:r w:rsidRPr="006A02CB">
        <w:t>Tamás</w:t>
      </w:r>
      <w:proofErr w:type="spellEnd"/>
      <w:r w:rsidRPr="006A02CB">
        <w:t xml:space="preserve"> Barbai</w:t>
      </w:r>
      <w:r>
        <w:rPr>
          <w:vertAlign w:val="superscript"/>
        </w:rPr>
        <w:t>4</w:t>
      </w:r>
      <w:r w:rsidRPr="006A02CB">
        <w:t>, Zita Hegedűs</w:t>
      </w:r>
      <w:r w:rsidRPr="006A02CB">
        <w:rPr>
          <w:vertAlign w:val="superscript"/>
        </w:rPr>
        <w:t>1</w:t>
      </w:r>
      <w:r w:rsidRPr="006A02CB">
        <w:t xml:space="preserve">, </w:t>
      </w:r>
      <w:proofErr w:type="spellStart"/>
      <w:r w:rsidRPr="006A02CB">
        <w:rPr>
          <w:szCs w:val="24"/>
        </w:rPr>
        <w:t>Viktória</w:t>
      </w:r>
      <w:proofErr w:type="spellEnd"/>
      <w:r w:rsidRPr="006A02CB">
        <w:rPr>
          <w:szCs w:val="24"/>
        </w:rPr>
        <w:t xml:space="preserve"> László</w:t>
      </w:r>
      <w:r w:rsidRPr="006A02CB">
        <w:rPr>
          <w:szCs w:val="24"/>
          <w:vertAlign w:val="superscript"/>
        </w:rPr>
        <w:t>6</w:t>
      </w:r>
      <w:r>
        <w:rPr>
          <w:szCs w:val="24"/>
          <w:vertAlign w:val="superscript"/>
        </w:rPr>
        <w:t>,7</w:t>
      </w:r>
      <w:r w:rsidRPr="006A02CB">
        <w:rPr>
          <w:szCs w:val="24"/>
        </w:rPr>
        <w:t>,</w:t>
      </w:r>
      <w:r w:rsidRPr="006A02CB">
        <w:rPr>
          <w:color w:val="FF0000"/>
          <w:szCs w:val="24"/>
        </w:rPr>
        <w:t xml:space="preserve"> </w:t>
      </w:r>
      <w:proofErr w:type="spellStart"/>
      <w:r w:rsidRPr="006A02CB">
        <w:rPr>
          <w:szCs w:val="24"/>
        </w:rPr>
        <w:t>Bálint</w:t>
      </w:r>
      <w:proofErr w:type="spellEnd"/>
      <w:r w:rsidRPr="006A02CB">
        <w:rPr>
          <w:szCs w:val="24"/>
        </w:rPr>
        <w:t xml:space="preserve"> Szokol</w:t>
      </w:r>
      <w:r>
        <w:rPr>
          <w:vertAlign w:val="superscript"/>
        </w:rPr>
        <w:t>8</w:t>
      </w:r>
      <w:r w:rsidRPr="006A02CB">
        <w:t xml:space="preserve">, </w:t>
      </w:r>
      <w:proofErr w:type="spellStart"/>
      <w:r w:rsidRPr="006A02CB">
        <w:t>Judit</w:t>
      </w:r>
      <w:proofErr w:type="spellEnd"/>
      <w:r w:rsidRPr="006A02CB">
        <w:t xml:space="preserve"> Dobos</w:t>
      </w:r>
      <w:r>
        <w:rPr>
          <w:vertAlign w:val="superscript"/>
        </w:rPr>
        <w:t>8</w:t>
      </w:r>
      <w:r w:rsidRPr="006A02CB">
        <w:rPr>
          <w:szCs w:val="24"/>
        </w:rPr>
        <w:t xml:space="preserve">, </w:t>
      </w:r>
      <w:r w:rsidRPr="006A02CB">
        <w:t>László Őrfi</w:t>
      </w:r>
      <w:r>
        <w:rPr>
          <w:vertAlign w:val="superscript"/>
        </w:rPr>
        <w:t>8</w:t>
      </w:r>
      <w:r w:rsidRPr="006A02CB">
        <w:t xml:space="preserve">, </w:t>
      </w:r>
      <w:proofErr w:type="spellStart"/>
      <w:r w:rsidRPr="006A02CB">
        <w:t>József</w:t>
      </w:r>
      <w:proofErr w:type="spellEnd"/>
      <w:r w:rsidRPr="006A02CB">
        <w:t xml:space="preserve"> Tóvári</w:t>
      </w:r>
      <w:r w:rsidRPr="006A02CB">
        <w:rPr>
          <w:vertAlign w:val="superscript"/>
        </w:rPr>
        <w:t>1</w:t>
      </w:r>
    </w:p>
    <w:p w14:paraId="25E69EFD" w14:textId="77777777" w:rsidR="00FA5828" w:rsidRPr="006A02CB" w:rsidRDefault="00FA5828" w:rsidP="00FA5828">
      <w:pPr>
        <w:spacing w:line="480" w:lineRule="auto"/>
        <w:jc w:val="center"/>
        <w:rPr>
          <w:vertAlign w:val="superscript"/>
        </w:rPr>
      </w:pPr>
    </w:p>
    <w:p w14:paraId="1B6E287A" w14:textId="77777777" w:rsidR="00FA5828" w:rsidRDefault="00FA5828" w:rsidP="00FA5828">
      <w:pPr>
        <w:spacing w:line="480" w:lineRule="auto"/>
      </w:pPr>
      <w:r w:rsidRPr="006A02CB">
        <w:rPr>
          <w:vertAlign w:val="superscript"/>
        </w:rPr>
        <w:t xml:space="preserve">1 </w:t>
      </w:r>
      <w:r w:rsidRPr="006A02CB">
        <w:t>Department of Experimental Pharmacology, National Institute of Oncology, Budapest, Hungary</w:t>
      </w:r>
    </w:p>
    <w:p w14:paraId="6C139E9E" w14:textId="77777777" w:rsidR="00FA5828" w:rsidRPr="004C4115" w:rsidRDefault="00FA5828" w:rsidP="00FA5828">
      <w:pPr>
        <w:spacing w:line="480" w:lineRule="auto"/>
      </w:pPr>
      <w:r w:rsidRPr="004C4115">
        <w:rPr>
          <w:rFonts w:eastAsia="Times New Roman" w:cs="Times New Roman"/>
          <w:szCs w:val="24"/>
          <w:vertAlign w:val="superscript"/>
          <w:lang w:val="en-GB" w:eastAsia="en-GB"/>
        </w:rPr>
        <w:t>2</w:t>
      </w:r>
      <w:r>
        <w:rPr>
          <w:rFonts w:eastAsia="Times New Roman" w:cs="Times New Roman"/>
          <w:szCs w:val="24"/>
          <w:lang w:val="en-GB" w:eastAsia="en-GB"/>
        </w:rPr>
        <w:t xml:space="preserve"> 2</w:t>
      </w:r>
      <w:r w:rsidRPr="004C4115">
        <w:rPr>
          <w:rFonts w:eastAsia="Times New Roman" w:cs="Times New Roman"/>
          <w:szCs w:val="24"/>
          <w:vertAlign w:val="superscript"/>
          <w:lang w:val="en-GB" w:eastAsia="en-GB"/>
        </w:rPr>
        <w:t>nd</w:t>
      </w:r>
      <w:r w:rsidRPr="007A6BA2">
        <w:rPr>
          <w:rFonts w:eastAsia="Times New Roman" w:cs="Times New Roman"/>
          <w:szCs w:val="24"/>
          <w:lang w:val="en-GB" w:eastAsia="en-GB"/>
        </w:rPr>
        <w:t xml:space="preserve"> Department of </w:t>
      </w:r>
      <w:proofErr w:type="spellStart"/>
      <w:r w:rsidRPr="007A6BA2">
        <w:rPr>
          <w:rFonts w:eastAsia="Times New Roman" w:cs="Times New Roman"/>
          <w:szCs w:val="24"/>
          <w:lang w:val="en-GB" w:eastAsia="en-GB"/>
        </w:rPr>
        <w:t>Pediatrics</w:t>
      </w:r>
      <w:proofErr w:type="spellEnd"/>
      <w:r w:rsidRPr="007A6BA2">
        <w:rPr>
          <w:rFonts w:eastAsia="Times New Roman" w:cs="Times New Roman"/>
          <w:szCs w:val="24"/>
          <w:lang w:val="en-GB" w:eastAsia="en-GB"/>
        </w:rPr>
        <w:t xml:space="preserve"> - Semmelweis Universit</w:t>
      </w:r>
      <w:r>
        <w:rPr>
          <w:rFonts w:eastAsia="Times New Roman" w:cs="Times New Roman"/>
          <w:szCs w:val="24"/>
          <w:lang w:val="en-GB" w:eastAsia="en-GB"/>
        </w:rPr>
        <w:t>y, Budapest, Hungary.</w:t>
      </w:r>
    </w:p>
    <w:p w14:paraId="47B90C7B" w14:textId="77777777" w:rsidR="00FA5828" w:rsidRPr="006A02CB" w:rsidRDefault="00FA5828" w:rsidP="00FA5828">
      <w:pPr>
        <w:spacing w:line="480" w:lineRule="auto"/>
        <w:ind w:left="142" w:hanging="142"/>
      </w:pPr>
      <w:r>
        <w:rPr>
          <w:szCs w:val="24"/>
          <w:vertAlign w:val="superscript"/>
        </w:rPr>
        <w:t>3</w:t>
      </w:r>
      <w:r w:rsidRPr="006A02CB">
        <w:t xml:space="preserve"> </w:t>
      </w:r>
      <w:r w:rsidRPr="006A02CB">
        <w:rPr>
          <w:noProof/>
          <w:szCs w:val="24"/>
        </w:rPr>
        <w:t>Department of Otolaryngology and Head and Neck Surgery, Semmelweis University, Budapest, Hungary</w:t>
      </w:r>
    </w:p>
    <w:p w14:paraId="2120B8E8" w14:textId="77777777" w:rsidR="00FA5828" w:rsidRPr="006A02CB" w:rsidRDefault="00FA5828" w:rsidP="00FA5828">
      <w:pPr>
        <w:spacing w:line="480" w:lineRule="auto"/>
      </w:pPr>
      <w:r>
        <w:rPr>
          <w:vertAlign w:val="superscript"/>
        </w:rPr>
        <w:t>4</w:t>
      </w:r>
      <w:r w:rsidRPr="006A02CB">
        <w:rPr>
          <w:vertAlign w:val="superscript"/>
        </w:rPr>
        <w:t xml:space="preserve"> </w:t>
      </w:r>
      <w:r w:rsidRPr="006A02CB">
        <w:t>2</w:t>
      </w:r>
      <w:r w:rsidRPr="006A02CB">
        <w:rPr>
          <w:vertAlign w:val="superscript"/>
        </w:rPr>
        <w:t>nd</w:t>
      </w:r>
      <w:r w:rsidRPr="006A02CB">
        <w:t xml:space="preserve"> Institute of Pathology, Semmelweis University, Budapest, Hungary </w:t>
      </w:r>
    </w:p>
    <w:p w14:paraId="7F62572C" w14:textId="77777777" w:rsidR="00FA5828" w:rsidRPr="006A02CB" w:rsidRDefault="00FA5828" w:rsidP="00FA5828">
      <w:pPr>
        <w:spacing w:line="480" w:lineRule="auto"/>
      </w:pPr>
      <w:r>
        <w:rPr>
          <w:vertAlign w:val="superscript"/>
        </w:rPr>
        <w:t>5</w:t>
      </w:r>
      <w:r w:rsidRPr="006A02CB">
        <w:t xml:space="preserve"> Hungarian Cancer Registry, National Institute of Oncology.</w:t>
      </w:r>
    </w:p>
    <w:p w14:paraId="7AB72A58" w14:textId="77777777" w:rsidR="00FA5828" w:rsidRPr="006A02CB" w:rsidRDefault="00FA5828" w:rsidP="00FA5828">
      <w:pPr>
        <w:spacing w:line="480" w:lineRule="auto"/>
        <w:jc w:val="both"/>
      </w:pPr>
      <w:r>
        <w:rPr>
          <w:noProof/>
          <w:szCs w:val="24"/>
          <w:vertAlign w:val="superscript"/>
        </w:rPr>
        <w:t>6</w:t>
      </w:r>
      <w:r w:rsidRPr="006A02CB">
        <w:rPr>
          <w:noProof/>
          <w:szCs w:val="24"/>
          <w:vertAlign w:val="superscript"/>
        </w:rPr>
        <w:t xml:space="preserve"> </w:t>
      </w:r>
      <w:r w:rsidRPr="006A02CB">
        <w:t>Department of Thoracic Surgery, Medical University of Vienna, Vienna, Austria</w:t>
      </w:r>
    </w:p>
    <w:p w14:paraId="5FE05971" w14:textId="77777777" w:rsidR="00FA5828" w:rsidRPr="006A02CB" w:rsidRDefault="00FA5828" w:rsidP="00FA5828">
      <w:pPr>
        <w:spacing w:line="480" w:lineRule="auto"/>
      </w:pPr>
      <w:r>
        <w:rPr>
          <w:vertAlign w:val="superscript"/>
        </w:rPr>
        <w:t>7</w:t>
      </w:r>
      <w:r w:rsidRPr="006A02CB">
        <w:rPr>
          <w:vertAlign w:val="superscript"/>
        </w:rPr>
        <w:t xml:space="preserve"> </w:t>
      </w:r>
      <w:r w:rsidRPr="006A02CB">
        <w:t xml:space="preserve">Department of Tumor Biology, National </w:t>
      </w:r>
      <w:proofErr w:type="spellStart"/>
      <w:r w:rsidRPr="006A02CB">
        <w:t>Korányi</w:t>
      </w:r>
      <w:proofErr w:type="spellEnd"/>
      <w:r w:rsidRPr="006A02CB">
        <w:t xml:space="preserve"> Institute of Pulmonology, Budapest, Hungary </w:t>
      </w:r>
    </w:p>
    <w:p w14:paraId="3CD43E69" w14:textId="77777777" w:rsidR="00FA5828" w:rsidRPr="006A02CB" w:rsidRDefault="00FA5828" w:rsidP="00FA5828">
      <w:pPr>
        <w:spacing w:line="480" w:lineRule="auto"/>
      </w:pPr>
      <w:r>
        <w:rPr>
          <w:vertAlign w:val="superscript"/>
        </w:rPr>
        <w:t>8</w:t>
      </w:r>
      <w:r w:rsidRPr="006A02CB">
        <w:t xml:space="preserve"> </w:t>
      </w:r>
      <w:proofErr w:type="spellStart"/>
      <w:r w:rsidRPr="006A02CB">
        <w:t>Vichem</w:t>
      </w:r>
      <w:proofErr w:type="spellEnd"/>
      <w:r w:rsidRPr="006A02CB">
        <w:t xml:space="preserve"> </w:t>
      </w:r>
      <w:proofErr w:type="spellStart"/>
      <w:r w:rsidRPr="006A02CB">
        <w:t>Chemie</w:t>
      </w:r>
      <w:proofErr w:type="spellEnd"/>
      <w:r w:rsidRPr="006A02CB">
        <w:t xml:space="preserve"> Ltd., Budapest, Hungary</w:t>
      </w:r>
    </w:p>
    <w:p w14:paraId="4803C6D8" w14:textId="77777777" w:rsidR="00550527" w:rsidRPr="006A02CB" w:rsidRDefault="00550527" w:rsidP="00550527">
      <w:pPr>
        <w:spacing w:line="480" w:lineRule="auto"/>
        <w:jc w:val="both"/>
      </w:pPr>
    </w:p>
    <w:p w14:paraId="53F02483" w14:textId="77777777" w:rsidR="00550527" w:rsidRPr="006A02CB" w:rsidRDefault="00550527" w:rsidP="00550527">
      <w:pPr>
        <w:pStyle w:val="BodyText2"/>
        <w:jc w:val="both"/>
        <w:rPr>
          <w:b/>
          <w:i/>
          <w:color w:val="auto"/>
          <w:szCs w:val="24"/>
        </w:rPr>
      </w:pPr>
      <w:r w:rsidRPr="006A02CB">
        <w:rPr>
          <w:b/>
          <w:i/>
          <w:color w:val="auto"/>
          <w:szCs w:val="24"/>
        </w:rPr>
        <w:lastRenderedPageBreak/>
        <w:t>Correspond</w:t>
      </w:r>
      <w:r>
        <w:rPr>
          <w:b/>
          <w:i/>
          <w:color w:val="auto"/>
          <w:szCs w:val="24"/>
        </w:rPr>
        <w:t>ence</w:t>
      </w:r>
      <w:r w:rsidRPr="006A02CB">
        <w:rPr>
          <w:b/>
          <w:i/>
          <w:color w:val="auto"/>
          <w:szCs w:val="24"/>
        </w:rPr>
        <w:t>:</w:t>
      </w:r>
    </w:p>
    <w:p w14:paraId="3EB584F0" w14:textId="77777777" w:rsidR="00550527" w:rsidRPr="006A02CB" w:rsidRDefault="00550527" w:rsidP="00550527">
      <w:pPr>
        <w:pStyle w:val="BodyText2"/>
        <w:jc w:val="both"/>
        <w:rPr>
          <w:b/>
          <w:color w:val="auto"/>
          <w:szCs w:val="24"/>
        </w:rPr>
      </w:pPr>
      <w:proofErr w:type="spellStart"/>
      <w:r w:rsidRPr="006A02CB">
        <w:rPr>
          <w:b/>
          <w:color w:val="auto"/>
          <w:szCs w:val="24"/>
        </w:rPr>
        <w:t>József</w:t>
      </w:r>
      <w:proofErr w:type="spellEnd"/>
      <w:r w:rsidRPr="006A02CB">
        <w:rPr>
          <w:b/>
          <w:color w:val="auto"/>
          <w:szCs w:val="24"/>
        </w:rPr>
        <w:t xml:space="preserve"> </w:t>
      </w:r>
      <w:proofErr w:type="spellStart"/>
      <w:r w:rsidRPr="006A02CB">
        <w:rPr>
          <w:b/>
          <w:color w:val="auto"/>
          <w:szCs w:val="24"/>
        </w:rPr>
        <w:t>Tóvári</w:t>
      </w:r>
      <w:proofErr w:type="spellEnd"/>
      <w:r w:rsidRPr="006A02CB">
        <w:rPr>
          <w:b/>
          <w:color w:val="auto"/>
          <w:szCs w:val="24"/>
        </w:rPr>
        <w:t xml:space="preserve">, PhD. </w:t>
      </w:r>
    </w:p>
    <w:p w14:paraId="54B9D2BD" w14:textId="77777777" w:rsidR="00550527" w:rsidRPr="006A02CB" w:rsidRDefault="00550527" w:rsidP="00550527">
      <w:pPr>
        <w:pStyle w:val="BodyText2"/>
        <w:jc w:val="both"/>
        <w:rPr>
          <w:color w:val="auto"/>
          <w:szCs w:val="24"/>
        </w:rPr>
      </w:pPr>
      <w:r w:rsidRPr="006A02CB">
        <w:rPr>
          <w:noProof/>
          <w:color w:val="auto"/>
          <w:szCs w:val="24"/>
        </w:rPr>
        <w:t>Department of Experimental Pharmacology, National Institute of Oncology, Budapest, Hungary</w:t>
      </w:r>
      <w:r w:rsidRPr="006A02CB">
        <w:rPr>
          <w:color w:val="auto"/>
          <w:szCs w:val="24"/>
        </w:rPr>
        <w:t xml:space="preserve"> </w:t>
      </w:r>
    </w:p>
    <w:p w14:paraId="77D6778C" w14:textId="77777777" w:rsidR="00550527" w:rsidRPr="006A02CB" w:rsidRDefault="00550527" w:rsidP="00550527">
      <w:pPr>
        <w:pStyle w:val="BodyText2"/>
        <w:jc w:val="both"/>
        <w:rPr>
          <w:color w:val="auto"/>
          <w:szCs w:val="24"/>
        </w:rPr>
      </w:pPr>
      <w:r w:rsidRPr="006A02CB">
        <w:rPr>
          <w:noProof/>
          <w:color w:val="auto"/>
          <w:szCs w:val="24"/>
        </w:rPr>
        <w:t>Phone:</w:t>
      </w:r>
      <w:r w:rsidRPr="006A02CB">
        <w:rPr>
          <w:color w:val="auto"/>
          <w:szCs w:val="24"/>
        </w:rPr>
        <w:t xml:space="preserve"> +36-1-224-8778</w:t>
      </w:r>
    </w:p>
    <w:p w14:paraId="79B51C5C" w14:textId="77777777" w:rsidR="00550527" w:rsidRPr="006A02CB" w:rsidRDefault="00550527" w:rsidP="00550527">
      <w:pPr>
        <w:pStyle w:val="BodyText2"/>
        <w:jc w:val="both"/>
        <w:rPr>
          <w:color w:val="auto"/>
          <w:szCs w:val="24"/>
        </w:rPr>
      </w:pPr>
      <w:r w:rsidRPr="006A02CB">
        <w:rPr>
          <w:noProof/>
          <w:color w:val="auto"/>
          <w:szCs w:val="24"/>
        </w:rPr>
        <w:t>Fax:</w:t>
      </w:r>
      <w:r w:rsidRPr="006A02CB">
        <w:rPr>
          <w:color w:val="auto"/>
          <w:szCs w:val="24"/>
        </w:rPr>
        <w:t xml:space="preserve"> +36-1-224-8724</w:t>
      </w:r>
    </w:p>
    <w:p w14:paraId="340DE1D8" w14:textId="77777777" w:rsidR="00550527" w:rsidRPr="006A02CB" w:rsidRDefault="00550527" w:rsidP="00550527">
      <w:pPr>
        <w:pStyle w:val="BodyText2"/>
        <w:jc w:val="both"/>
        <w:rPr>
          <w:color w:val="auto"/>
          <w:szCs w:val="24"/>
        </w:rPr>
      </w:pPr>
      <w:r w:rsidRPr="006A02CB">
        <w:rPr>
          <w:noProof/>
          <w:color w:val="auto"/>
          <w:szCs w:val="24"/>
        </w:rPr>
        <w:t>E-mail:</w:t>
      </w:r>
      <w:r w:rsidRPr="006A02CB">
        <w:rPr>
          <w:color w:val="auto"/>
          <w:szCs w:val="24"/>
        </w:rPr>
        <w:t xml:space="preserve"> </w:t>
      </w:r>
      <w:hyperlink r:id="rId8" w:history="1">
        <w:r w:rsidRPr="006A02CB">
          <w:rPr>
            <w:rStyle w:val="Hyperlink"/>
            <w:color w:val="auto"/>
            <w:szCs w:val="24"/>
          </w:rPr>
          <w:t>tozsi@oncol.hu</w:t>
        </w:r>
      </w:hyperlink>
      <w:r w:rsidRPr="006A02CB">
        <w:rPr>
          <w:color w:val="auto"/>
          <w:szCs w:val="24"/>
        </w:rPr>
        <w:t xml:space="preserve">, </w:t>
      </w:r>
      <w:hyperlink r:id="rId9" w:history="1">
        <w:r w:rsidRPr="006A02CB">
          <w:rPr>
            <w:rStyle w:val="Hyperlink"/>
            <w:color w:val="auto"/>
            <w:szCs w:val="24"/>
          </w:rPr>
          <w:t>jtovari@yahoo.com</w:t>
        </w:r>
      </w:hyperlink>
      <w:r w:rsidRPr="006A02CB">
        <w:rPr>
          <w:color w:val="auto"/>
          <w:szCs w:val="24"/>
        </w:rPr>
        <w:t xml:space="preserve"> </w:t>
      </w:r>
    </w:p>
    <w:p w14:paraId="3DE3B150" w14:textId="77777777" w:rsidR="00550527" w:rsidRDefault="00550527" w:rsidP="00550527">
      <w:pPr>
        <w:spacing w:after="160" w:line="256" w:lineRule="auto"/>
        <w:rPr>
          <w:color w:val="000000"/>
          <w:szCs w:val="20"/>
        </w:rPr>
      </w:pPr>
      <w:r>
        <w:br w:type="page"/>
      </w:r>
    </w:p>
    <w:p w14:paraId="63161344" w14:textId="77777777" w:rsidR="00550527" w:rsidRDefault="00550527" w:rsidP="00550527">
      <w:pPr>
        <w:spacing w:line="480" w:lineRule="auto"/>
        <w:jc w:val="both"/>
        <w:rPr>
          <w:b/>
        </w:rPr>
      </w:pPr>
      <w:r>
        <w:rPr>
          <w:b/>
        </w:rPr>
        <w:lastRenderedPageBreak/>
        <w:t>SUPPLEMENTARY MATERIALS AND METHODS</w:t>
      </w:r>
    </w:p>
    <w:p w14:paraId="60EE034C" w14:textId="77777777" w:rsidR="00550527" w:rsidRDefault="00550527" w:rsidP="00550527">
      <w:pPr>
        <w:spacing w:line="480" w:lineRule="auto"/>
        <w:jc w:val="both"/>
        <w:rPr>
          <w:b/>
        </w:rPr>
      </w:pPr>
    </w:p>
    <w:p w14:paraId="26017485" w14:textId="77777777" w:rsidR="00550527" w:rsidRDefault="00550527" w:rsidP="00550527">
      <w:pPr>
        <w:pStyle w:val="NormalWeb"/>
        <w:spacing w:before="0" w:beforeAutospacing="0" w:after="0" w:afterAutospacing="0" w:line="480" w:lineRule="auto"/>
        <w:jc w:val="both"/>
        <w:rPr>
          <w:b/>
        </w:rPr>
      </w:pPr>
      <w:r>
        <w:rPr>
          <w:b/>
          <w:noProof/>
        </w:rPr>
        <w:t xml:space="preserve">Detection of EGFR gene amplification by FISH </w:t>
      </w:r>
    </w:p>
    <w:p w14:paraId="20DFDA1A" w14:textId="77777777" w:rsidR="00550527" w:rsidRDefault="00550527" w:rsidP="00550527">
      <w:pPr>
        <w:spacing w:line="480" w:lineRule="auto"/>
        <w:jc w:val="both"/>
        <w:rPr>
          <w:noProof/>
          <w:szCs w:val="24"/>
        </w:rPr>
      </w:pPr>
      <w:r>
        <w:rPr>
          <w:noProof/>
          <w:szCs w:val="24"/>
        </w:rPr>
        <w:t>Five-μm-thick sections were cut from paraffin embedded tumors followed by cooking at 56°C overnight.</w:t>
      </w:r>
      <w:r>
        <w:rPr>
          <w:szCs w:val="24"/>
        </w:rPr>
        <w:t xml:space="preserve"> </w:t>
      </w:r>
      <w:r>
        <w:rPr>
          <w:noProof/>
          <w:szCs w:val="24"/>
        </w:rPr>
        <w:t>The slides were deparaffinized by soaking in xylene for 10 minutes two times, and rehydrated in a series of decreasing concentrations of ethanol.</w:t>
      </w:r>
      <w:r>
        <w:rPr>
          <w:szCs w:val="24"/>
        </w:rPr>
        <w:t xml:space="preserve"> </w:t>
      </w:r>
      <w:r>
        <w:rPr>
          <w:noProof/>
          <w:szCs w:val="24"/>
        </w:rPr>
        <w:t>Heat pretreatment was carried out by microwaving the slides in Vector Antigen Unmasking Solution (H-3300; Vector Laboratories, Burlingame, CA, USA) at 800 W for 3 minutes and at 160 W for further 20 minutes.</w:t>
      </w:r>
      <w:r>
        <w:rPr>
          <w:szCs w:val="24"/>
        </w:rPr>
        <w:t xml:space="preserve"> </w:t>
      </w:r>
      <w:r>
        <w:rPr>
          <w:noProof/>
          <w:szCs w:val="24"/>
        </w:rPr>
        <w:t>The tissue sections were then digested with 0.025% pepsin (P7012; Sigma-Aldrich, Saint Luis, MO, USA) in 0.2 M HCl at 37°C for 15 minutes.</w:t>
      </w:r>
      <w:r>
        <w:rPr>
          <w:szCs w:val="24"/>
        </w:rPr>
        <w:t xml:space="preserve"> </w:t>
      </w:r>
      <w:r>
        <w:rPr>
          <w:noProof/>
          <w:szCs w:val="24"/>
        </w:rPr>
        <w:t>Pepsin digestion was terminated by washing the slides in distilled water for 1 minute and in 2× SSC for 5 minutes followed by dehydration in a series of increasing concentrations of ethanol.</w:t>
      </w:r>
      <w:r>
        <w:rPr>
          <w:szCs w:val="24"/>
        </w:rPr>
        <w:t xml:space="preserve"> </w:t>
      </w:r>
      <w:r>
        <w:rPr>
          <w:noProof/>
          <w:szCs w:val="24"/>
        </w:rPr>
        <w:t>10 μl of ON EGFR, Her-1 (7p11) / SE 7, dual-color FISH probe mix (KBI-10702, Kreatech Biotechnology B.V., Amsterdam, Netherlands) was applied onto the selected area on each slide and covered with a glass coverslip which was sealed with rubber cement.</w:t>
      </w:r>
      <w:r>
        <w:rPr>
          <w:szCs w:val="24"/>
        </w:rPr>
        <w:t xml:space="preserve"> </w:t>
      </w:r>
      <w:r>
        <w:rPr>
          <w:noProof/>
          <w:szCs w:val="24"/>
        </w:rPr>
        <w:t>The slides were incubated at 80°C for 5 minutes for codenaturation of sample and probe DNA, and hybridization was carried out by overnight incubation at 37°C.</w:t>
      </w:r>
      <w:r>
        <w:rPr>
          <w:szCs w:val="24"/>
        </w:rPr>
        <w:t xml:space="preserve"> </w:t>
      </w:r>
      <w:r>
        <w:rPr>
          <w:noProof/>
          <w:szCs w:val="24"/>
        </w:rPr>
        <w:t>Posthybridization washes were performed in 0.4× SSC / 0.3% Igepal for 2 minutes at room temperature and in 0.4× SSC / 0.3% Igepal for 2 minutes at 70°C.</w:t>
      </w:r>
      <w:r>
        <w:rPr>
          <w:szCs w:val="24"/>
        </w:rPr>
        <w:t xml:space="preserve"> </w:t>
      </w:r>
      <w:r>
        <w:rPr>
          <w:noProof/>
          <w:szCs w:val="24"/>
        </w:rPr>
        <w:t>After dehydration in a series of ethanol, Vectashield mounting medium with DAPI (4'6-diamidino-2-phenylindole, 1.5 μg/mL, Vector Laboratories, Burlingame, CA, USA) was applied for fluorescent nuclear counterstaining.</w:t>
      </w:r>
      <w:r>
        <w:rPr>
          <w:szCs w:val="24"/>
        </w:rPr>
        <w:t xml:space="preserve"> </w:t>
      </w:r>
      <w:r>
        <w:rPr>
          <w:noProof/>
          <w:szCs w:val="24"/>
        </w:rPr>
        <w:t>Leica DM RXA motorized epifluorescence microscope (Leica Microsystems, Wetzlar, Germany), equipped with Pieper FK-7512-IQ high sensitivity B&amp;W video camera and Leica CW4000 FISH visualizing software, was used for the analysis and documentation of the FISH results. EGFR gene copy and the chromosome 7 number were counted in 40 cells from the two samples.</w:t>
      </w:r>
    </w:p>
    <w:p w14:paraId="46BECB5F" w14:textId="77777777" w:rsidR="00550527" w:rsidRDefault="00550527" w:rsidP="00550527">
      <w:pPr>
        <w:spacing w:line="480" w:lineRule="auto"/>
        <w:jc w:val="both"/>
        <w:rPr>
          <w:noProof/>
          <w:szCs w:val="24"/>
        </w:rPr>
      </w:pPr>
    </w:p>
    <w:p w14:paraId="208CD0A2" w14:textId="77777777" w:rsidR="00550527" w:rsidRDefault="00550527" w:rsidP="00550527">
      <w:pPr>
        <w:pStyle w:val="NormalWeb"/>
        <w:spacing w:before="0" w:beforeAutospacing="0" w:after="0" w:afterAutospacing="0" w:line="480" w:lineRule="auto"/>
        <w:jc w:val="both"/>
        <w:rPr>
          <w:b/>
          <w:bCs/>
        </w:rPr>
      </w:pPr>
      <w:r>
        <w:rPr>
          <w:b/>
          <w:noProof/>
        </w:rPr>
        <w:t>Detection of EGFR TK domain mutations</w:t>
      </w:r>
    </w:p>
    <w:p w14:paraId="552C9784" w14:textId="77777777" w:rsidR="00550527" w:rsidRDefault="00550527" w:rsidP="00550527">
      <w:pPr>
        <w:pStyle w:val="Div"/>
        <w:spacing w:after="100" w:afterAutospacing="1" w:line="480" w:lineRule="auto"/>
        <w:jc w:val="both"/>
        <w:rPr>
          <w:lang w:val="en-US"/>
        </w:rPr>
      </w:pPr>
      <w:r>
        <w:rPr>
          <w:lang w:val="en-US"/>
        </w:rPr>
        <w:t xml:space="preserve">We examined the samples’ EGFR mutation status using the method set previously with EGFR wild type H358 bronchioalveolar carcinoma, the 19del mutant HCC827 epithelial adenocarcinoma and the H1975 human pulmonary adenocarcinoma with a point mutation in exon 21 cell lines as positive controls. The control samples contained WT DNA only, or WT and mutant DNA in 5%, 17.5%, and 50% ratio. After normalization we were able to differentiate samples containing WT from low concentration mutant alleles. During the experiment we used the Roche </w:t>
      </w:r>
      <w:proofErr w:type="spellStart"/>
      <w:r>
        <w:rPr>
          <w:lang w:val="en-US"/>
        </w:rPr>
        <w:t>LightCycler</w:t>
      </w:r>
      <w:proofErr w:type="spellEnd"/>
      <w:r>
        <w:rPr>
          <w:vertAlign w:val="superscript"/>
          <w:lang w:val="en-US"/>
        </w:rPr>
        <w:t>®</w:t>
      </w:r>
      <w:r>
        <w:rPr>
          <w:lang w:val="en-US"/>
        </w:rPr>
        <w:t xml:space="preserve"> 480 Real Time PCR System, adding to the 20 µl total volume reaction mixture 10µl High Resolution Melting Master (Roche), 0.5-0.5 µl  of 10 µM forward and reverse primers, 2.5 µl 25 mM MgCl</w:t>
      </w:r>
      <w:r>
        <w:rPr>
          <w:vertAlign w:val="subscript"/>
          <w:lang w:val="en-US"/>
        </w:rPr>
        <w:t>2</w:t>
      </w:r>
      <w:r>
        <w:rPr>
          <w:lang w:val="en-US"/>
        </w:rPr>
        <w:t xml:space="preserve"> and 25 ng DNA template. We used the following primers to investigate the mutation status of exon 19 and 21 of EGFR gene, respectively: </w:t>
      </w:r>
      <w:r>
        <w:rPr>
          <w:noProof/>
          <w:lang w:val="en-US"/>
        </w:rPr>
        <w:t>19HR01F:</w:t>
      </w:r>
      <w:r>
        <w:rPr>
          <w:lang w:val="en-US"/>
        </w:rPr>
        <w:t xml:space="preserve"> </w:t>
      </w:r>
      <w:r>
        <w:rPr>
          <w:noProof/>
          <w:lang w:val="en-US"/>
        </w:rPr>
        <w:t>CTGGATCCCAGAAGGTGAGA; 19HR01R:</w:t>
      </w:r>
      <w:r>
        <w:rPr>
          <w:lang w:val="en-US"/>
        </w:rPr>
        <w:t xml:space="preserve"> </w:t>
      </w:r>
      <w:r>
        <w:rPr>
          <w:noProof/>
          <w:lang w:val="en-US"/>
        </w:rPr>
        <w:t>GATTTCCTTGTTGGCTTTCG; 21HR01F:</w:t>
      </w:r>
      <w:r>
        <w:rPr>
          <w:lang w:val="en-US"/>
        </w:rPr>
        <w:t xml:space="preserve"> </w:t>
      </w:r>
      <w:r>
        <w:rPr>
          <w:noProof/>
          <w:lang w:val="en-US"/>
        </w:rPr>
        <w:t>AGCCAGGAACGTACTGGTGA; 21HR01R:</w:t>
      </w:r>
      <w:r>
        <w:rPr>
          <w:lang w:val="en-US"/>
        </w:rPr>
        <w:t xml:space="preserve"> </w:t>
      </w:r>
      <w:r>
        <w:rPr>
          <w:noProof/>
          <w:lang w:val="en-US"/>
        </w:rPr>
        <w:t>TGCCTCCTTCTGCATGGTAT.</w:t>
      </w:r>
      <w:r>
        <w:rPr>
          <w:lang w:val="en-US"/>
        </w:rPr>
        <w:t xml:space="preserve"> </w:t>
      </w:r>
      <w:r>
        <w:rPr>
          <w:noProof/>
          <w:lang w:val="en-US"/>
        </w:rPr>
        <w:t>PCR conditions were 95°C for 5 min and 50 cycles of 95°C for 15 sec, 61°C &gt;53°C (decreasing by 0.6°C with each cycle) for 20 sec, 72°C for 15 sec. For HRM analysis 95°C 1 min, 45°C 1 min and 61°C &gt;95°C 25 sec. Finally 30 sec 30°C.</w:t>
      </w:r>
    </w:p>
    <w:p w14:paraId="2ABD736E" w14:textId="77777777" w:rsidR="00550527" w:rsidRDefault="00550527" w:rsidP="00550527">
      <w:pPr>
        <w:pStyle w:val="NormalWeb"/>
        <w:spacing w:before="0" w:beforeAutospacing="0" w:after="0" w:afterAutospacing="0" w:line="480" w:lineRule="auto"/>
        <w:jc w:val="both"/>
        <w:rPr>
          <w:b/>
          <w:noProof/>
        </w:rPr>
      </w:pPr>
      <w:r>
        <w:rPr>
          <w:b/>
          <w:noProof/>
        </w:rPr>
        <w:t xml:space="preserve">Detection of KRAS mutations </w:t>
      </w:r>
    </w:p>
    <w:p w14:paraId="4101F995" w14:textId="77777777" w:rsidR="00550527" w:rsidRDefault="00550527" w:rsidP="00550527">
      <w:pPr>
        <w:pStyle w:val="NormalWeb"/>
        <w:spacing w:before="0" w:beforeAutospacing="0" w:after="0" w:afterAutospacing="0" w:line="480" w:lineRule="auto"/>
        <w:jc w:val="both"/>
      </w:pPr>
      <w:r>
        <w:rPr>
          <w:noProof/>
        </w:rPr>
        <w:t xml:space="preserve">We used restriction fragment microfluidic-based detection (RFMD) PCR analysis </w:t>
      </w:r>
      <w:r>
        <w:t>to</w:t>
      </w:r>
      <w:r>
        <w:rPr>
          <w:noProof/>
        </w:rPr>
        <w:t xml:space="preserve"> detect KRAS codon 12 mutations.</w:t>
      </w:r>
      <w:r>
        <w:t xml:space="preserve"> </w:t>
      </w:r>
      <w:r>
        <w:rPr>
          <w:noProof/>
        </w:rPr>
        <w:t>First, genomic DNA was isolated from sections of paraffin-embedded tumors using QIAamp DNA FFPE Tissue Kit (Qiagen, Hilden, Germany).</w:t>
      </w:r>
      <w:r>
        <w:t xml:space="preserve"> </w:t>
      </w:r>
      <w:r>
        <w:rPr>
          <w:noProof/>
        </w:rPr>
        <w:t>The PCR was performed with AmpliTaqGold PCR Master Mix (Applied Biosystems, Foster City, CA) using primers designed to introduce a BstnI restriction site in the products generated from the wild-type allele.</w:t>
      </w:r>
      <w:r>
        <w:t xml:space="preserve"> </w:t>
      </w:r>
      <w:r>
        <w:rPr>
          <w:noProof/>
        </w:rPr>
        <w:t>The primer sequences were as follows:</w:t>
      </w:r>
      <w:r>
        <w:t xml:space="preserve"> </w:t>
      </w:r>
      <w:r>
        <w:rPr>
          <w:noProof/>
        </w:rPr>
        <w:t xml:space="preserve">forward 5-GAATATAAACTTGTGGTAGTTGGACCT-3 and reverse 5-GGTCCTGCACCAGTAATATG-3. PCR conditions were 95°C for 10 minutes and 38 cycles of 95°C </w:t>
      </w:r>
      <w:r>
        <w:rPr>
          <w:noProof/>
        </w:rPr>
        <w:lastRenderedPageBreak/>
        <w:t>for 1 minute, 55°C for 1 minute, 72°C for 2 minutes, and finally 4 minutes at 72°C.</w:t>
      </w:r>
      <w:r>
        <w:t xml:space="preserve"> </w:t>
      </w:r>
      <w:r>
        <w:rPr>
          <w:noProof/>
        </w:rPr>
        <w:t>The products obtained  were then digested  with BstnI (New England Biolabs, Beverly MA) at 60°C for 4 hours.</w:t>
      </w:r>
      <w:r>
        <w:t xml:space="preserve"> </w:t>
      </w:r>
      <w:r>
        <w:rPr>
          <w:noProof/>
        </w:rPr>
        <w:t>This restriction enzyme digests the wild-type sequence but not the mutant thus identifying mutations in codon 12.</w:t>
      </w:r>
      <w:r>
        <w:t xml:space="preserve"> All</w:t>
      </w:r>
      <w:r>
        <w:rPr>
          <w:noProof/>
        </w:rPr>
        <w:t xml:space="preserve"> products were visualized on 3% agarose gels stained with ethidium bromide.</w:t>
      </w:r>
      <w:r>
        <w:t xml:space="preserve"> </w:t>
      </w:r>
      <w:r>
        <w:rPr>
          <w:noProof/>
        </w:rPr>
        <w:t>We quantified the ratio of the mutant and wild-type products  using Experion Automated Electrophoresis System (Bio-Rad Laboratories, Hercules, CA).</w:t>
      </w:r>
      <w:r>
        <w:t xml:space="preserve"> </w:t>
      </w:r>
      <w:r>
        <w:rPr>
          <w:noProof/>
        </w:rPr>
        <w:t>The transitions in the mutant alleles were determined by direct sequence analysis using an Applied Biosystem 3130 Genetic analyzer (Applied Biosystems).</w:t>
      </w:r>
      <w:r>
        <w:t xml:space="preserve"> </w:t>
      </w:r>
    </w:p>
    <w:p w14:paraId="03D0B2EF" w14:textId="77777777" w:rsidR="00550527" w:rsidRDefault="00550527" w:rsidP="00550527">
      <w:pPr>
        <w:pStyle w:val="NormalWeb"/>
        <w:spacing w:before="0" w:beforeAutospacing="0" w:after="0" w:afterAutospacing="0" w:line="480" w:lineRule="auto"/>
        <w:jc w:val="both"/>
        <w:rPr>
          <w:b/>
        </w:rPr>
      </w:pPr>
    </w:p>
    <w:p w14:paraId="786D1A37" w14:textId="77777777" w:rsidR="00550527" w:rsidRDefault="00550527" w:rsidP="00550527">
      <w:pPr>
        <w:pStyle w:val="NormalWeb"/>
        <w:spacing w:before="0" w:beforeAutospacing="0" w:after="0" w:afterAutospacing="0" w:line="480" w:lineRule="auto"/>
        <w:jc w:val="both"/>
      </w:pPr>
      <w:r>
        <w:rPr>
          <w:b/>
          <w:noProof/>
        </w:rPr>
        <w:t>Detection of HPV infection by PCR</w:t>
      </w:r>
    </w:p>
    <w:p w14:paraId="0C93B44F" w14:textId="77777777" w:rsidR="00550527" w:rsidRDefault="00550527" w:rsidP="00550527">
      <w:pPr>
        <w:spacing w:line="480" w:lineRule="auto"/>
        <w:jc w:val="both"/>
        <w:rPr>
          <w:szCs w:val="24"/>
        </w:rPr>
      </w:pPr>
      <w:r>
        <w:rPr>
          <w:noProof/>
          <w:szCs w:val="24"/>
        </w:rPr>
        <w:t>For the isolation of DNA, 4-5 pieces of 10-µm sections from the two samples were placed in sterile 2 ml Eppendorf tubes.</w:t>
      </w:r>
      <w:r>
        <w:rPr>
          <w:szCs w:val="24"/>
        </w:rPr>
        <w:t xml:space="preserve"> </w:t>
      </w:r>
      <w:r>
        <w:rPr>
          <w:noProof/>
          <w:szCs w:val="24"/>
        </w:rPr>
        <w:t>Paraffin was removed by two washes in xylene followed by two washes in 96%v/v ethanol.</w:t>
      </w:r>
      <w:r>
        <w:rPr>
          <w:szCs w:val="24"/>
        </w:rPr>
        <w:t xml:space="preserve"> </w:t>
      </w:r>
      <w:r>
        <w:rPr>
          <w:noProof/>
          <w:szCs w:val="24"/>
        </w:rPr>
        <w:t>Air-dried samples were digested overnight with 1 mg/ml Proteinase K in Tris-EDTA buffer (10 mM Tris, 1 mM EDTA pH=8.0).</w:t>
      </w:r>
      <w:r>
        <w:rPr>
          <w:szCs w:val="24"/>
        </w:rPr>
        <w:t xml:space="preserve"> </w:t>
      </w:r>
      <w:r>
        <w:rPr>
          <w:noProof/>
          <w:szCs w:val="24"/>
        </w:rPr>
        <w:t>After high-speed centrifugation, the aqueous phase was separated and used as template solution.</w:t>
      </w:r>
      <w:r>
        <w:rPr>
          <w:szCs w:val="24"/>
        </w:rPr>
        <w:t xml:space="preserve"> </w:t>
      </w:r>
      <w:r>
        <w:rPr>
          <w:noProof/>
          <w:szCs w:val="24"/>
        </w:rPr>
        <w:t>Each sample was assayed at least twice.</w:t>
      </w:r>
      <w:r>
        <w:rPr>
          <w:szCs w:val="24"/>
        </w:rPr>
        <w:t xml:space="preserve"> </w:t>
      </w:r>
      <w:r>
        <w:rPr>
          <w:noProof/>
          <w:szCs w:val="24"/>
        </w:rPr>
        <w:t>The integrity of the DNA extracted from the archive tissues and the absence of inhibitors were controlled by subjecting the samples to PCR amplification with GH20 and PCO4 primers targeted to the human beta-globin gene.</w:t>
      </w:r>
      <w:r>
        <w:rPr>
          <w:szCs w:val="24"/>
        </w:rPr>
        <w:t xml:space="preserve"> </w:t>
      </w:r>
    </w:p>
    <w:p w14:paraId="1978E5C9" w14:textId="77777777" w:rsidR="00550527" w:rsidRDefault="00550527" w:rsidP="00550527">
      <w:pPr>
        <w:spacing w:line="480" w:lineRule="auto"/>
        <w:jc w:val="both"/>
        <w:rPr>
          <w:szCs w:val="24"/>
        </w:rPr>
      </w:pPr>
      <w:r>
        <w:rPr>
          <w:noProof/>
          <w:szCs w:val="24"/>
        </w:rPr>
        <w:t>Type-specific determination of HPVs was carried out by nested PCR.</w:t>
      </w:r>
      <w:r>
        <w:rPr>
          <w:szCs w:val="24"/>
        </w:rPr>
        <w:t xml:space="preserve"> </w:t>
      </w:r>
      <w:r>
        <w:rPr>
          <w:noProof/>
          <w:szCs w:val="24"/>
        </w:rPr>
        <w:t>In the first round of the nested PCR, a pair of outer primers designed for a consensus sequence shared by the three most common high risk HPV types (16, 18, 33) was used to amplify E6 ORF sequence.</w:t>
      </w:r>
      <w:r>
        <w:rPr>
          <w:szCs w:val="24"/>
        </w:rPr>
        <w:t xml:space="preserve"> </w:t>
      </w:r>
      <w:r>
        <w:rPr>
          <w:noProof/>
          <w:szCs w:val="24"/>
        </w:rPr>
        <w:t>One-microliter aliquots of the amplified products from the first round were used as templates for the next polymerase chain reaction.</w:t>
      </w:r>
      <w:r>
        <w:rPr>
          <w:szCs w:val="24"/>
        </w:rPr>
        <w:t xml:space="preserve"> </w:t>
      </w:r>
      <w:r>
        <w:rPr>
          <w:noProof/>
          <w:szCs w:val="24"/>
        </w:rPr>
        <w:t>In this second round, primers specific for the HPV types 16, 18 and 33 were applied.</w:t>
      </w:r>
      <w:r>
        <w:rPr>
          <w:szCs w:val="24"/>
        </w:rPr>
        <w:t xml:space="preserve"> </w:t>
      </w:r>
      <w:r>
        <w:rPr>
          <w:noProof/>
          <w:szCs w:val="24"/>
        </w:rPr>
        <w:t>Amplifications were performed with REDTaq ReadyMix (Sigma-Aldrich Co., St. Louis, Missouri, USA) in a PCR Express thermal cycler (Hybaid Ltd.-Thermo Electron Co.).</w:t>
      </w:r>
      <w:r>
        <w:rPr>
          <w:szCs w:val="24"/>
        </w:rPr>
        <w:t xml:space="preserve"> </w:t>
      </w:r>
      <w:r>
        <w:rPr>
          <w:noProof/>
          <w:szCs w:val="24"/>
        </w:rPr>
        <w:t xml:space="preserve">A PCR reaction volume of 25 µl was chosen, containing 12.5 µl of 2× ReadyMix, 20 pmol of each primer and 1 </w:t>
      </w:r>
      <w:r>
        <w:rPr>
          <w:noProof/>
          <w:szCs w:val="24"/>
        </w:rPr>
        <w:sym w:font="Symbol" w:char="F06D"/>
      </w:r>
      <w:r>
        <w:rPr>
          <w:noProof/>
          <w:szCs w:val="24"/>
        </w:rPr>
        <w:t>l of template solution.</w:t>
      </w:r>
      <w:r>
        <w:rPr>
          <w:szCs w:val="24"/>
        </w:rPr>
        <w:t xml:space="preserve"> </w:t>
      </w:r>
      <w:r>
        <w:rPr>
          <w:noProof/>
          <w:szCs w:val="24"/>
        </w:rPr>
        <w:lastRenderedPageBreak/>
        <w:t xml:space="preserve">Amplicons were analyzed on 2% DNA-quality agarose gels (Pharmacia, Uppsala, Sweden) containing 0.5 </w:t>
      </w:r>
      <w:r>
        <w:rPr>
          <w:noProof/>
          <w:szCs w:val="24"/>
        </w:rPr>
        <w:sym w:font="Times New Roman" w:char="F0B5"/>
      </w:r>
      <w:r>
        <w:rPr>
          <w:noProof/>
          <w:szCs w:val="24"/>
        </w:rPr>
        <w:t>g/ml ethidium bromide in Tris-acetate-EDTA buffer (TAE, pH 7.5), running at 5 V/cm (90 mA).</w:t>
      </w:r>
      <w:r>
        <w:rPr>
          <w:szCs w:val="24"/>
        </w:rPr>
        <w:t xml:space="preserve"> </w:t>
      </w:r>
      <w:r>
        <w:rPr>
          <w:noProof/>
          <w:szCs w:val="24"/>
        </w:rPr>
        <w:t>PCR products were visualized and photographed using Kodak Image Station 4000MM gel-documentation system (Carestream Health Inc., Rochester, NY, USA).</w:t>
      </w:r>
    </w:p>
    <w:p w14:paraId="4E141481" w14:textId="77777777" w:rsidR="00550527" w:rsidRDefault="00550527" w:rsidP="00550527">
      <w:pPr>
        <w:pStyle w:val="EndnoteText"/>
        <w:spacing w:line="480" w:lineRule="auto"/>
        <w:jc w:val="both"/>
        <w:rPr>
          <w:color w:val="000000"/>
          <w:sz w:val="24"/>
          <w:szCs w:val="24"/>
        </w:rPr>
      </w:pPr>
      <w:r>
        <w:rPr>
          <w:noProof/>
          <w:sz w:val="24"/>
          <w:szCs w:val="24"/>
        </w:rPr>
        <w:t>In case none of the three HPV types could be found by the above method, an additional nested PCR assay using GP5+/GP6+ and MY9/MY11 primer pairs, targeted against L1 open reading frame, was attempted to detect the presence of HPV genome. These universal primer pairs recognize about 30 additional HPV types beside 16, 18 and 33.</w:t>
      </w:r>
    </w:p>
    <w:p w14:paraId="73637373" w14:textId="77777777" w:rsidR="00550527" w:rsidRDefault="00550527" w:rsidP="00550527">
      <w:pPr>
        <w:spacing w:line="480" w:lineRule="auto"/>
        <w:jc w:val="both"/>
        <w:rPr>
          <w:b/>
          <w:bCs/>
          <w:noProof/>
          <w:szCs w:val="24"/>
        </w:rPr>
      </w:pPr>
    </w:p>
    <w:p w14:paraId="4950F3C5" w14:textId="77777777" w:rsidR="00550527" w:rsidRDefault="00550527" w:rsidP="00550527">
      <w:pPr>
        <w:spacing w:line="480" w:lineRule="auto"/>
        <w:jc w:val="both"/>
        <w:rPr>
          <w:b/>
          <w:szCs w:val="20"/>
        </w:rPr>
      </w:pPr>
      <w:r>
        <w:rPr>
          <w:b/>
        </w:rPr>
        <w:t xml:space="preserve">RT-PCR analysis of EGFR-ECD mRNA expression </w:t>
      </w:r>
    </w:p>
    <w:p w14:paraId="41A4A31C" w14:textId="77777777" w:rsidR="00550527" w:rsidRDefault="00550527" w:rsidP="00550527">
      <w:pPr>
        <w:spacing w:line="480" w:lineRule="auto"/>
        <w:jc w:val="both"/>
        <w:rPr>
          <w:b/>
        </w:rPr>
      </w:pPr>
      <w:r>
        <w:rPr>
          <w:noProof/>
          <w:szCs w:val="24"/>
        </w:rPr>
        <w:t xml:space="preserve">Total RNA was isolated from the </w:t>
      </w:r>
      <w:r>
        <w:rPr>
          <w:i/>
        </w:rPr>
        <w:t>in vitro</w:t>
      </w:r>
      <w:r>
        <w:rPr>
          <w:noProof/>
          <w:szCs w:val="24"/>
        </w:rPr>
        <w:t xml:space="preserve"> growing PE/CA-PJ15 and PE/CA-PJ41 tumor cell lines using TRIzol</w:t>
      </w:r>
      <w:r>
        <w:rPr>
          <w:vertAlign w:val="superscript"/>
        </w:rPr>
        <w:t>®</w:t>
      </w:r>
      <w:r>
        <w:rPr>
          <w:noProof/>
          <w:szCs w:val="24"/>
        </w:rPr>
        <w:t xml:space="preserve"> Reagent (</w:t>
      </w:r>
      <w:proofErr w:type="spellStart"/>
      <w:r>
        <w:rPr>
          <w:noProof/>
          <w:szCs w:val="24"/>
        </w:rPr>
        <w:t>Invitrogen</w:t>
      </w:r>
      <w:r>
        <w:rPr>
          <w:vertAlign w:val="superscript"/>
        </w:rPr>
        <w:t>TM</w:t>
      </w:r>
      <w:proofErr w:type="spellEnd"/>
      <w:r>
        <w:rPr>
          <w:noProof/>
          <w:szCs w:val="24"/>
        </w:rPr>
        <w:t>) according to the manufacturer’s instructions. Possible DNA contamination was eliminated using TURBO DNA-freeTM kit (Ambion</w:t>
      </w:r>
      <w:r>
        <w:rPr>
          <w:vertAlign w:val="superscript"/>
        </w:rPr>
        <w:t>®</w:t>
      </w:r>
      <w:r>
        <w:rPr>
          <w:noProof/>
          <w:szCs w:val="24"/>
        </w:rPr>
        <w:t>). For reverse transcription 1 μl of 10 mM dNTP mix (Finnzyme</w:t>
      </w:r>
      <w:r>
        <w:rPr>
          <w:vertAlign w:val="superscript"/>
        </w:rPr>
        <w:t>®</w:t>
      </w:r>
      <w:r>
        <w:rPr>
          <w:noProof/>
          <w:szCs w:val="24"/>
        </w:rPr>
        <w:t>) and 1μl of Random primer-oligo dT combination for a final concentration of 2.5 μM was added and used 2 μg of the purified total RNA. After incubating at 70 °C for 10 min, 2 μl of 10× M-MLV Reverse Transcriptase Buffer (SIGMA</w:t>
      </w:r>
      <w:r>
        <w:rPr>
          <w:vertAlign w:val="superscript"/>
        </w:rPr>
        <w:t>®</w:t>
      </w:r>
      <w:r>
        <w:rPr>
          <w:noProof/>
          <w:szCs w:val="24"/>
        </w:rPr>
        <w:t>), 1 μl of M-MLV Reverse Transcriptase (200 units/μl, SIGMA</w:t>
      </w:r>
      <w:r>
        <w:rPr>
          <w:vertAlign w:val="superscript"/>
        </w:rPr>
        <w:t>®</w:t>
      </w:r>
      <w:r>
        <w:rPr>
          <w:noProof/>
          <w:szCs w:val="24"/>
        </w:rPr>
        <w:t>), 0.5 μl RNase Inhibitor (40 units/μl, Promega</w:t>
      </w:r>
      <w:r>
        <w:rPr>
          <w:vertAlign w:val="superscript"/>
        </w:rPr>
        <w:t>®</w:t>
      </w:r>
      <w:r>
        <w:rPr>
          <w:noProof/>
          <w:szCs w:val="24"/>
        </w:rPr>
        <w:t>) and 6.5 μl DEPC-treated water was added for a final volume of 20 μl, than incubated at 37 °C for 50 min and 85 °C for 10 min. The occurrence of reverse transcription was checked by carrying out polymerase chain reaction with β-actin primers (GTG GGG CGC CCC AGG CAC CCA and CTC CTT AAT GTC ACG CAC GAT TTC) as a housekeeping gene. RNA of the same sample was used as negative control for detection of DNA contamination and DEPC-treated water was used as non-template control.</w:t>
      </w:r>
      <w:r>
        <w:rPr>
          <w:b/>
        </w:rPr>
        <w:br w:type="page"/>
      </w:r>
    </w:p>
    <w:p w14:paraId="64123B24" w14:textId="77777777" w:rsidR="00550527" w:rsidRDefault="00550527" w:rsidP="00550527">
      <w:pPr>
        <w:jc w:val="both"/>
        <w:rPr>
          <w:b/>
          <w:color w:val="000000"/>
        </w:rPr>
      </w:pPr>
      <w:r>
        <w:rPr>
          <w:b/>
        </w:rPr>
        <w:lastRenderedPageBreak/>
        <w:t>Supplementary Table S1. Primer nucleotide sequences used in EGFR tyrosine kinase domain, KRAS, NRAS, HPV infection screening</w:t>
      </w:r>
    </w:p>
    <w:p w14:paraId="2A73C958" w14:textId="77777777" w:rsidR="00550527" w:rsidRDefault="00550527" w:rsidP="00550527">
      <w:pPr>
        <w:jc w:val="both"/>
        <w:rPr>
          <w:b/>
        </w:rPr>
      </w:pPr>
    </w:p>
    <w:p w14:paraId="36FFF2B6" w14:textId="77777777" w:rsidR="00550527" w:rsidRDefault="00550527" w:rsidP="00550527">
      <w:pPr>
        <w:jc w:val="both"/>
        <w:rPr>
          <w:b/>
          <w:i/>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712"/>
        <w:gridCol w:w="4112"/>
        <w:gridCol w:w="1134"/>
      </w:tblGrid>
      <w:tr w:rsidR="00550527" w14:paraId="652FACB9" w14:textId="77777777" w:rsidTr="00550527">
        <w:tc>
          <w:tcPr>
            <w:tcW w:w="1537" w:type="dxa"/>
            <w:tcBorders>
              <w:top w:val="single" w:sz="4" w:space="0" w:color="auto"/>
              <w:left w:val="single" w:sz="4" w:space="0" w:color="auto"/>
              <w:bottom w:val="single" w:sz="4" w:space="0" w:color="auto"/>
              <w:right w:val="single" w:sz="4" w:space="0" w:color="auto"/>
            </w:tcBorders>
            <w:hideMark/>
          </w:tcPr>
          <w:p w14:paraId="140EFD5F" w14:textId="77777777" w:rsidR="00550527" w:rsidRDefault="00550527">
            <w:pPr>
              <w:spacing w:line="256" w:lineRule="auto"/>
            </w:pPr>
            <w:r>
              <w:t>Gene</w:t>
            </w:r>
          </w:p>
        </w:tc>
        <w:tc>
          <w:tcPr>
            <w:tcW w:w="2711" w:type="dxa"/>
            <w:tcBorders>
              <w:top w:val="single" w:sz="4" w:space="0" w:color="auto"/>
              <w:left w:val="single" w:sz="4" w:space="0" w:color="auto"/>
              <w:bottom w:val="single" w:sz="4" w:space="0" w:color="auto"/>
              <w:right w:val="single" w:sz="4" w:space="0" w:color="auto"/>
            </w:tcBorders>
            <w:hideMark/>
          </w:tcPr>
          <w:p w14:paraId="1E1AE368" w14:textId="77777777" w:rsidR="00550527" w:rsidRDefault="00550527">
            <w:pPr>
              <w:spacing w:line="256" w:lineRule="auto"/>
            </w:pPr>
            <w:r>
              <w:t>Primer name</w:t>
            </w:r>
          </w:p>
        </w:tc>
        <w:tc>
          <w:tcPr>
            <w:tcW w:w="4111" w:type="dxa"/>
            <w:tcBorders>
              <w:top w:val="single" w:sz="4" w:space="0" w:color="auto"/>
              <w:left w:val="single" w:sz="4" w:space="0" w:color="auto"/>
              <w:bottom w:val="single" w:sz="4" w:space="0" w:color="auto"/>
              <w:right w:val="single" w:sz="4" w:space="0" w:color="auto"/>
            </w:tcBorders>
            <w:hideMark/>
          </w:tcPr>
          <w:p w14:paraId="0892C19C" w14:textId="77777777" w:rsidR="00550527" w:rsidRDefault="00550527">
            <w:pPr>
              <w:spacing w:line="256" w:lineRule="auto"/>
            </w:pPr>
            <w:r>
              <w:rPr>
                <w:bCs/>
              </w:rPr>
              <w:t xml:space="preserve">Sequence (5’ to 3’) </w:t>
            </w:r>
            <w: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11A3353" w14:textId="77777777" w:rsidR="00550527" w:rsidRDefault="00550527">
            <w:pPr>
              <w:spacing w:line="256" w:lineRule="auto"/>
            </w:pPr>
            <w:r>
              <w:t>length</w:t>
            </w:r>
          </w:p>
        </w:tc>
      </w:tr>
      <w:tr w:rsidR="00550527" w14:paraId="1B07480C" w14:textId="77777777" w:rsidTr="00550527">
        <w:tc>
          <w:tcPr>
            <w:tcW w:w="1537" w:type="dxa"/>
            <w:vMerge w:val="restart"/>
            <w:tcBorders>
              <w:top w:val="single" w:sz="4" w:space="0" w:color="auto"/>
              <w:left w:val="single" w:sz="4" w:space="0" w:color="auto"/>
              <w:bottom w:val="single" w:sz="4" w:space="0" w:color="auto"/>
              <w:right w:val="single" w:sz="4" w:space="0" w:color="auto"/>
            </w:tcBorders>
            <w:hideMark/>
          </w:tcPr>
          <w:p w14:paraId="7102308A" w14:textId="77777777" w:rsidR="00550527" w:rsidRDefault="00550527">
            <w:pPr>
              <w:spacing w:line="256" w:lineRule="auto"/>
              <w:rPr>
                <w:b/>
                <w:sz w:val="20"/>
              </w:rPr>
            </w:pPr>
            <w:r>
              <w:rPr>
                <w:b/>
                <w:sz w:val="20"/>
              </w:rPr>
              <w:t>KRAS</w:t>
            </w:r>
          </w:p>
        </w:tc>
        <w:tc>
          <w:tcPr>
            <w:tcW w:w="2711" w:type="dxa"/>
            <w:tcBorders>
              <w:top w:val="single" w:sz="4" w:space="0" w:color="auto"/>
              <w:left w:val="single" w:sz="4" w:space="0" w:color="auto"/>
              <w:bottom w:val="single" w:sz="4" w:space="0" w:color="auto"/>
              <w:right w:val="single" w:sz="4" w:space="0" w:color="auto"/>
            </w:tcBorders>
            <w:hideMark/>
          </w:tcPr>
          <w:p w14:paraId="7C0D02AF" w14:textId="77777777" w:rsidR="00550527" w:rsidRDefault="00550527">
            <w:pPr>
              <w:spacing w:line="256" w:lineRule="auto"/>
              <w:rPr>
                <w:sz w:val="20"/>
              </w:rPr>
            </w:pPr>
            <w:r>
              <w:rPr>
                <w:sz w:val="20"/>
              </w:rPr>
              <w:t>KRASex2S</w:t>
            </w:r>
          </w:p>
        </w:tc>
        <w:tc>
          <w:tcPr>
            <w:tcW w:w="4111" w:type="dxa"/>
            <w:tcBorders>
              <w:top w:val="single" w:sz="4" w:space="0" w:color="auto"/>
              <w:left w:val="single" w:sz="4" w:space="0" w:color="auto"/>
              <w:bottom w:val="single" w:sz="4" w:space="0" w:color="auto"/>
              <w:right w:val="single" w:sz="4" w:space="0" w:color="auto"/>
            </w:tcBorders>
            <w:hideMark/>
          </w:tcPr>
          <w:p w14:paraId="1A2CEACA" w14:textId="77777777" w:rsidR="00550527" w:rsidRDefault="00550527">
            <w:pPr>
              <w:spacing w:line="256" w:lineRule="auto"/>
              <w:rPr>
                <w:sz w:val="20"/>
              </w:rPr>
            </w:pPr>
            <w:r>
              <w:rPr>
                <w:sz w:val="20"/>
              </w:rPr>
              <w:t>GAATATAAACTTGTGGTAGTTGGACCT</w:t>
            </w:r>
          </w:p>
        </w:tc>
        <w:tc>
          <w:tcPr>
            <w:tcW w:w="1134" w:type="dxa"/>
            <w:vMerge w:val="restart"/>
            <w:tcBorders>
              <w:top w:val="single" w:sz="4" w:space="0" w:color="auto"/>
              <w:left w:val="single" w:sz="4" w:space="0" w:color="auto"/>
              <w:bottom w:val="single" w:sz="4" w:space="0" w:color="auto"/>
              <w:right w:val="single" w:sz="4" w:space="0" w:color="auto"/>
            </w:tcBorders>
          </w:tcPr>
          <w:p w14:paraId="4837FA8F" w14:textId="77777777" w:rsidR="00550527" w:rsidRDefault="00550527">
            <w:pPr>
              <w:spacing w:line="256" w:lineRule="auto"/>
              <w:rPr>
                <w:sz w:val="20"/>
              </w:rPr>
            </w:pPr>
          </w:p>
          <w:p w14:paraId="26941C1D" w14:textId="77777777" w:rsidR="00550527" w:rsidRDefault="00550527">
            <w:pPr>
              <w:spacing w:line="256" w:lineRule="auto"/>
              <w:rPr>
                <w:sz w:val="20"/>
              </w:rPr>
            </w:pPr>
            <w:r>
              <w:rPr>
                <w:sz w:val="20"/>
              </w:rPr>
              <w:t>144bp</w:t>
            </w:r>
          </w:p>
        </w:tc>
      </w:tr>
      <w:tr w:rsidR="00550527" w14:paraId="0C6D9DD9"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0163C117" w14:textId="77777777" w:rsidR="00550527" w:rsidRDefault="00550527">
            <w:pPr>
              <w:spacing w:line="256" w:lineRule="auto"/>
              <w:rPr>
                <w:rFonts w:eastAsia="Times New Roman" w:cs="Times New Roman"/>
                <w:b/>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6AF342D4" w14:textId="77777777" w:rsidR="00550527" w:rsidRDefault="00550527">
            <w:pPr>
              <w:spacing w:line="256" w:lineRule="auto"/>
              <w:rPr>
                <w:sz w:val="20"/>
              </w:rPr>
            </w:pPr>
            <w:r>
              <w:rPr>
                <w:sz w:val="20"/>
              </w:rPr>
              <w:t>KRASex2A</w:t>
            </w:r>
          </w:p>
        </w:tc>
        <w:tc>
          <w:tcPr>
            <w:tcW w:w="4111" w:type="dxa"/>
            <w:tcBorders>
              <w:top w:val="single" w:sz="4" w:space="0" w:color="auto"/>
              <w:left w:val="single" w:sz="4" w:space="0" w:color="auto"/>
              <w:bottom w:val="single" w:sz="4" w:space="0" w:color="auto"/>
              <w:right w:val="single" w:sz="4" w:space="0" w:color="auto"/>
            </w:tcBorders>
            <w:hideMark/>
          </w:tcPr>
          <w:p w14:paraId="1157B70E" w14:textId="77777777" w:rsidR="00550527" w:rsidRDefault="00550527">
            <w:pPr>
              <w:spacing w:line="256" w:lineRule="auto"/>
              <w:rPr>
                <w:sz w:val="20"/>
              </w:rPr>
            </w:pPr>
            <w:r>
              <w:rPr>
                <w:sz w:val="20"/>
              </w:rPr>
              <w:t>GGTCCTGCACCAGTAATATG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1652A6" w14:textId="77777777" w:rsidR="00550527" w:rsidRDefault="00550527">
            <w:pPr>
              <w:spacing w:line="256" w:lineRule="auto"/>
              <w:rPr>
                <w:rFonts w:eastAsia="Times New Roman" w:cs="Times New Roman"/>
                <w:color w:val="000000"/>
                <w:sz w:val="20"/>
              </w:rPr>
            </w:pPr>
          </w:p>
        </w:tc>
      </w:tr>
      <w:tr w:rsidR="00550527" w14:paraId="7AB5FAA6"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644D44E7" w14:textId="77777777" w:rsidR="00550527" w:rsidRDefault="00550527">
            <w:pPr>
              <w:spacing w:line="256" w:lineRule="auto"/>
              <w:rPr>
                <w:rFonts w:eastAsia="Times New Roman" w:cs="Times New Roman"/>
                <w:b/>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03593F2B" w14:textId="77777777" w:rsidR="00550527" w:rsidRDefault="00550527">
            <w:pPr>
              <w:spacing w:line="256" w:lineRule="auto"/>
              <w:rPr>
                <w:sz w:val="20"/>
              </w:rPr>
            </w:pPr>
            <w:r>
              <w:rPr>
                <w:sz w:val="20"/>
              </w:rPr>
              <w:t>KRASex3S</w:t>
            </w:r>
          </w:p>
        </w:tc>
        <w:tc>
          <w:tcPr>
            <w:tcW w:w="4111" w:type="dxa"/>
            <w:tcBorders>
              <w:top w:val="single" w:sz="4" w:space="0" w:color="auto"/>
              <w:left w:val="single" w:sz="4" w:space="0" w:color="auto"/>
              <w:bottom w:val="single" w:sz="4" w:space="0" w:color="auto"/>
              <w:right w:val="single" w:sz="4" w:space="0" w:color="auto"/>
            </w:tcBorders>
            <w:hideMark/>
          </w:tcPr>
          <w:p w14:paraId="11D901A8" w14:textId="77777777" w:rsidR="00550527" w:rsidRDefault="00550527">
            <w:pPr>
              <w:spacing w:line="256" w:lineRule="auto"/>
              <w:rPr>
                <w:sz w:val="20"/>
              </w:rPr>
            </w:pPr>
            <w:r>
              <w:rPr>
                <w:sz w:val="20"/>
              </w:rPr>
              <w:t>CCTTCTCAGGATTCCTACAG</w:t>
            </w:r>
          </w:p>
        </w:tc>
        <w:tc>
          <w:tcPr>
            <w:tcW w:w="1134" w:type="dxa"/>
            <w:vMerge w:val="restart"/>
            <w:tcBorders>
              <w:top w:val="single" w:sz="4" w:space="0" w:color="auto"/>
              <w:left w:val="single" w:sz="4" w:space="0" w:color="auto"/>
              <w:bottom w:val="single" w:sz="4" w:space="0" w:color="auto"/>
              <w:right w:val="single" w:sz="4" w:space="0" w:color="auto"/>
            </w:tcBorders>
          </w:tcPr>
          <w:p w14:paraId="4D2143E0" w14:textId="77777777" w:rsidR="00550527" w:rsidRDefault="00550527">
            <w:pPr>
              <w:spacing w:line="256" w:lineRule="auto"/>
              <w:rPr>
                <w:sz w:val="20"/>
              </w:rPr>
            </w:pPr>
          </w:p>
          <w:p w14:paraId="1035CAE9" w14:textId="77777777" w:rsidR="00550527" w:rsidRDefault="00550527">
            <w:pPr>
              <w:spacing w:line="256" w:lineRule="auto"/>
              <w:rPr>
                <w:sz w:val="20"/>
              </w:rPr>
            </w:pPr>
            <w:r>
              <w:rPr>
                <w:sz w:val="20"/>
              </w:rPr>
              <w:t>175bp</w:t>
            </w:r>
          </w:p>
        </w:tc>
      </w:tr>
      <w:tr w:rsidR="00550527" w14:paraId="722611BC"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325DA060" w14:textId="77777777" w:rsidR="00550527" w:rsidRDefault="00550527">
            <w:pPr>
              <w:spacing w:line="256" w:lineRule="auto"/>
              <w:rPr>
                <w:rFonts w:eastAsia="Times New Roman" w:cs="Times New Roman"/>
                <w:b/>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4CDE5645" w14:textId="77777777" w:rsidR="00550527" w:rsidRDefault="00550527">
            <w:pPr>
              <w:spacing w:line="256" w:lineRule="auto"/>
              <w:rPr>
                <w:sz w:val="20"/>
              </w:rPr>
            </w:pPr>
            <w:r>
              <w:rPr>
                <w:sz w:val="20"/>
              </w:rPr>
              <w:t>KRASex3A</w:t>
            </w:r>
          </w:p>
        </w:tc>
        <w:tc>
          <w:tcPr>
            <w:tcW w:w="4111" w:type="dxa"/>
            <w:tcBorders>
              <w:top w:val="single" w:sz="4" w:space="0" w:color="auto"/>
              <w:left w:val="single" w:sz="4" w:space="0" w:color="auto"/>
              <w:bottom w:val="single" w:sz="4" w:space="0" w:color="auto"/>
              <w:right w:val="single" w:sz="4" w:space="0" w:color="auto"/>
            </w:tcBorders>
            <w:hideMark/>
          </w:tcPr>
          <w:p w14:paraId="08A07547" w14:textId="77777777" w:rsidR="00550527" w:rsidRDefault="00550527">
            <w:pPr>
              <w:spacing w:line="256" w:lineRule="auto"/>
              <w:rPr>
                <w:sz w:val="20"/>
              </w:rPr>
            </w:pPr>
            <w:r>
              <w:rPr>
                <w:sz w:val="20"/>
              </w:rPr>
              <w:t>ATATCTTCAAATGATTTAGTATTATTTATGG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BFE0F7" w14:textId="77777777" w:rsidR="00550527" w:rsidRDefault="00550527">
            <w:pPr>
              <w:spacing w:line="256" w:lineRule="auto"/>
              <w:rPr>
                <w:rFonts w:eastAsia="Times New Roman" w:cs="Times New Roman"/>
                <w:color w:val="000000"/>
                <w:sz w:val="20"/>
              </w:rPr>
            </w:pPr>
          </w:p>
        </w:tc>
      </w:tr>
      <w:tr w:rsidR="00550527" w14:paraId="7CA84862"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3983475E" w14:textId="77777777" w:rsidR="00550527" w:rsidRDefault="00550527">
            <w:pPr>
              <w:spacing w:line="256" w:lineRule="auto"/>
              <w:rPr>
                <w:rFonts w:eastAsia="Times New Roman" w:cs="Times New Roman"/>
                <w:b/>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7C55B48A" w14:textId="77777777" w:rsidR="00550527" w:rsidRDefault="00550527">
            <w:pPr>
              <w:spacing w:line="256" w:lineRule="auto"/>
              <w:rPr>
                <w:sz w:val="20"/>
              </w:rPr>
            </w:pPr>
            <w:r>
              <w:rPr>
                <w:sz w:val="20"/>
              </w:rPr>
              <w:t>KRASex4S</w:t>
            </w:r>
          </w:p>
        </w:tc>
        <w:tc>
          <w:tcPr>
            <w:tcW w:w="4111" w:type="dxa"/>
            <w:tcBorders>
              <w:top w:val="single" w:sz="4" w:space="0" w:color="auto"/>
              <w:left w:val="single" w:sz="4" w:space="0" w:color="auto"/>
              <w:bottom w:val="single" w:sz="4" w:space="0" w:color="auto"/>
              <w:right w:val="single" w:sz="4" w:space="0" w:color="auto"/>
            </w:tcBorders>
            <w:hideMark/>
          </w:tcPr>
          <w:p w14:paraId="7EFC18B3" w14:textId="77777777" w:rsidR="00550527" w:rsidRDefault="00550527">
            <w:pPr>
              <w:spacing w:line="256" w:lineRule="auto"/>
              <w:rPr>
                <w:sz w:val="20"/>
              </w:rPr>
            </w:pPr>
            <w:r>
              <w:rPr>
                <w:sz w:val="20"/>
              </w:rPr>
              <w:t>TTTGAAAGATATTTGTGTTACTAATGAC</w:t>
            </w:r>
          </w:p>
        </w:tc>
        <w:tc>
          <w:tcPr>
            <w:tcW w:w="1134" w:type="dxa"/>
            <w:vMerge w:val="restart"/>
            <w:tcBorders>
              <w:top w:val="single" w:sz="4" w:space="0" w:color="auto"/>
              <w:left w:val="single" w:sz="4" w:space="0" w:color="auto"/>
              <w:bottom w:val="single" w:sz="4" w:space="0" w:color="auto"/>
              <w:right w:val="single" w:sz="4" w:space="0" w:color="auto"/>
            </w:tcBorders>
          </w:tcPr>
          <w:p w14:paraId="284C93EC" w14:textId="77777777" w:rsidR="00550527" w:rsidRDefault="00550527">
            <w:pPr>
              <w:spacing w:line="256" w:lineRule="auto"/>
              <w:rPr>
                <w:sz w:val="20"/>
              </w:rPr>
            </w:pPr>
          </w:p>
          <w:p w14:paraId="1CD3992E" w14:textId="77777777" w:rsidR="00550527" w:rsidRDefault="00550527">
            <w:pPr>
              <w:spacing w:line="256" w:lineRule="auto"/>
              <w:rPr>
                <w:sz w:val="20"/>
              </w:rPr>
            </w:pPr>
            <w:r>
              <w:rPr>
                <w:sz w:val="20"/>
              </w:rPr>
              <w:t>228bp</w:t>
            </w:r>
          </w:p>
        </w:tc>
      </w:tr>
      <w:tr w:rsidR="00550527" w14:paraId="592A39AF"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5EEDCD2A" w14:textId="77777777" w:rsidR="00550527" w:rsidRDefault="00550527">
            <w:pPr>
              <w:spacing w:line="256" w:lineRule="auto"/>
              <w:rPr>
                <w:rFonts w:eastAsia="Times New Roman" w:cs="Times New Roman"/>
                <w:b/>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63E49DF2" w14:textId="77777777" w:rsidR="00550527" w:rsidRDefault="00550527">
            <w:pPr>
              <w:spacing w:line="256" w:lineRule="auto"/>
              <w:rPr>
                <w:sz w:val="20"/>
              </w:rPr>
            </w:pPr>
            <w:r>
              <w:rPr>
                <w:sz w:val="20"/>
              </w:rPr>
              <w:t>KRASex4A</w:t>
            </w:r>
          </w:p>
        </w:tc>
        <w:tc>
          <w:tcPr>
            <w:tcW w:w="4111" w:type="dxa"/>
            <w:tcBorders>
              <w:top w:val="single" w:sz="4" w:space="0" w:color="auto"/>
              <w:left w:val="single" w:sz="4" w:space="0" w:color="auto"/>
              <w:bottom w:val="single" w:sz="4" w:space="0" w:color="auto"/>
              <w:right w:val="single" w:sz="4" w:space="0" w:color="auto"/>
            </w:tcBorders>
            <w:hideMark/>
          </w:tcPr>
          <w:p w14:paraId="548C3703" w14:textId="77777777" w:rsidR="00550527" w:rsidRDefault="00550527">
            <w:pPr>
              <w:spacing w:line="256" w:lineRule="auto"/>
              <w:rPr>
                <w:sz w:val="20"/>
              </w:rPr>
            </w:pPr>
            <w:r>
              <w:rPr>
                <w:sz w:val="20"/>
              </w:rPr>
              <w:t>AGTGTTACTTACCTGTCTTGTC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274FB9" w14:textId="77777777" w:rsidR="00550527" w:rsidRDefault="00550527">
            <w:pPr>
              <w:spacing w:line="256" w:lineRule="auto"/>
              <w:rPr>
                <w:rFonts w:eastAsia="Times New Roman" w:cs="Times New Roman"/>
                <w:color w:val="000000"/>
                <w:sz w:val="20"/>
              </w:rPr>
            </w:pPr>
          </w:p>
        </w:tc>
      </w:tr>
      <w:tr w:rsidR="00550527" w14:paraId="48002FD3" w14:textId="77777777" w:rsidTr="00550527">
        <w:tc>
          <w:tcPr>
            <w:tcW w:w="1537" w:type="dxa"/>
            <w:vMerge w:val="restart"/>
            <w:tcBorders>
              <w:top w:val="single" w:sz="4" w:space="0" w:color="auto"/>
              <w:left w:val="single" w:sz="4" w:space="0" w:color="auto"/>
              <w:bottom w:val="single" w:sz="4" w:space="0" w:color="auto"/>
              <w:right w:val="single" w:sz="4" w:space="0" w:color="auto"/>
            </w:tcBorders>
            <w:hideMark/>
          </w:tcPr>
          <w:p w14:paraId="43F3C15F" w14:textId="77777777" w:rsidR="00550527" w:rsidRDefault="00550527">
            <w:pPr>
              <w:spacing w:line="256" w:lineRule="auto"/>
              <w:rPr>
                <w:b/>
                <w:sz w:val="20"/>
              </w:rPr>
            </w:pPr>
            <w:r>
              <w:rPr>
                <w:b/>
                <w:sz w:val="20"/>
              </w:rPr>
              <w:t>NRAS</w:t>
            </w:r>
          </w:p>
        </w:tc>
        <w:tc>
          <w:tcPr>
            <w:tcW w:w="2711" w:type="dxa"/>
            <w:tcBorders>
              <w:top w:val="single" w:sz="4" w:space="0" w:color="auto"/>
              <w:left w:val="single" w:sz="4" w:space="0" w:color="auto"/>
              <w:bottom w:val="single" w:sz="4" w:space="0" w:color="auto"/>
              <w:right w:val="single" w:sz="4" w:space="0" w:color="auto"/>
            </w:tcBorders>
            <w:hideMark/>
          </w:tcPr>
          <w:p w14:paraId="794E2855" w14:textId="77777777" w:rsidR="00550527" w:rsidRDefault="00550527">
            <w:pPr>
              <w:spacing w:line="256" w:lineRule="auto"/>
              <w:rPr>
                <w:sz w:val="20"/>
              </w:rPr>
            </w:pPr>
            <w:r>
              <w:rPr>
                <w:sz w:val="20"/>
              </w:rPr>
              <w:t>NRASex2S</w:t>
            </w:r>
          </w:p>
        </w:tc>
        <w:tc>
          <w:tcPr>
            <w:tcW w:w="4111" w:type="dxa"/>
            <w:tcBorders>
              <w:top w:val="single" w:sz="4" w:space="0" w:color="auto"/>
              <w:left w:val="single" w:sz="4" w:space="0" w:color="auto"/>
              <w:bottom w:val="single" w:sz="4" w:space="0" w:color="auto"/>
              <w:right w:val="single" w:sz="4" w:space="0" w:color="auto"/>
            </w:tcBorders>
            <w:hideMark/>
          </w:tcPr>
          <w:p w14:paraId="466E4861" w14:textId="77777777" w:rsidR="00550527" w:rsidRDefault="00550527">
            <w:pPr>
              <w:spacing w:line="256" w:lineRule="auto"/>
              <w:rPr>
                <w:sz w:val="20"/>
              </w:rPr>
            </w:pPr>
            <w:r>
              <w:rPr>
                <w:sz w:val="20"/>
              </w:rPr>
              <w:t>TTGCTGGTGTGAAATGACTGAG</w:t>
            </w:r>
          </w:p>
        </w:tc>
        <w:tc>
          <w:tcPr>
            <w:tcW w:w="1134" w:type="dxa"/>
            <w:vMerge w:val="restart"/>
            <w:tcBorders>
              <w:top w:val="single" w:sz="4" w:space="0" w:color="auto"/>
              <w:left w:val="single" w:sz="4" w:space="0" w:color="auto"/>
              <w:bottom w:val="single" w:sz="4" w:space="0" w:color="auto"/>
              <w:right w:val="single" w:sz="4" w:space="0" w:color="auto"/>
            </w:tcBorders>
          </w:tcPr>
          <w:p w14:paraId="0FDB82B0" w14:textId="77777777" w:rsidR="00550527" w:rsidRDefault="00550527">
            <w:pPr>
              <w:spacing w:line="256" w:lineRule="auto"/>
              <w:rPr>
                <w:sz w:val="20"/>
              </w:rPr>
            </w:pPr>
          </w:p>
          <w:p w14:paraId="73315E6B" w14:textId="77777777" w:rsidR="00550527" w:rsidRDefault="00550527">
            <w:pPr>
              <w:spacing w:line="256" w:lineRule="auto"/>
              <w:rPr>
                <w:sz w:val="20"/>
              </w:rPr>
            </w:pPr>
            <w:r>
              <w:rPr>
                <w:sz w:val="20"/>
              </w:rPr>
              <w:t>191bp</w:t>
            </w:r>
          </w:p>
        </w:tc>
      </w:tr>
      <w:tr w:rsidR="00550527" w14:paraId="54A2F207"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4A377C5B" w14:textId="77777777" w:rsidR="00550527" w:rsidRDefault="00550527">
            <w:pPr>
              <w:spacing w:line="256" w:lineRule="auto"/>
              <w:rPr>
                <w:rFonts w:eastAsia="Times New Roman" w:cs="Times New Roman"/>
                <w:b/>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4DAA8C92" w14:textId="77777777" w:rsidR="00550527" w:rsidRDefault="00550527">
            <w:pPr>
              <w:spacing w:line="256" w:lineRule="auto"/>
              <w:rPr>
                <w:sz w:val="20"/>
              </w:rPr>
            </w:pPr>
            <w:r>
              <w:rPr>
                <w:sz w:val="20"/>
              </w:rPr>
              <w:t>NRASex2A</w:t>
            </w:r>
          </w:p>
        </w:tc>
        <w:tc>
          <w:tcPr>
            <w:tcW w:w="4111" w:type="dxa"/>
            <w:tcBorders>
              <w:top w:val="single" w:sz="4" w:space="0" w:color="auto"/>
              <w:left w:val="single" w:sz="4" w:space="0" w:color="auto"/>
              <w:bottom w:val="single" w:sz="4" w:space="0" w:color="auto"/>
              <w:right w:val="single" w:sz="4" w:space="0" w:color="auto"/>
            </w:tcBorders>
            <w:hideMark/>
          </w:tcPr>
          <w:p w14:paraId="22DF8AE4" w14:textId="77777777" w:rsidR="00550527" w:rsidRDefault="00550527">
            <w:pPr>
              <w:spacing w:line="256" w:lineRule="auto"/>
              <w:rPr>
                <w:sz w:val="20"/>
              </w:rPr>
            </w:pPr>
            <w:r>
              <w:rPr>
                <w:sz w:val="20"/>
              </w:rPr>
              <w:t>ATATGGGTAAAGATGATCCGACAAG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E01C19" w14:textId="77777777" w:rsidR="00550527" w:rsidRDefault="00550527">
            <w:pPr>
              <w:spacing w:line="256" w:lineRule="auto"/>
              <w:rPr>
                <w:rFonts w:eastAsia="Times New Roman" w:cs="Times New Roman"/>
                <w:color w:val="000000"/>
                <w:sz w:val="20"/>
              </w:rPr>
            </w:pPr>
          </w:p>
        </w:tc>
      </w:tr>
      <w:tr w:rsidR="00550527" w14:paraId="4586232F"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0A2BD5A1" w14:textId="77777777" w:rsidR="00550527" w:rsidRDefault="00550527">
            <w:pPr>
              <w:spacing w:line="256" w:lineRule="auto"/>
              <w:rPr>
                <w:rFonts w:eastAsia="Times New Roman" w:cs="Times New Roman"/>
                <w:b/>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4EAF4838" w14:textId="77777777" w:rsidR="00550527" w:rsidRDefault="00550527">
            <w:pPr>
              <w:spacing w:line="256" w:lineRule="auto"/>
              <w:rPr>
                <w:sz w:val="20"/>
              </w:rPr>
            </w:pPr>
            <w:r>
              <w:rPr>
                <w:sz w:val="20"/>
              </w:rPr>
              <w:t>NRASex3S</w:t>
            </w:r>
          </w:p>
        </w:tc>
        <w:tc>
          <w:tcPr>
            <w:tcW w:w="4111" w:type="dxa"/>
            <w:tcBorders>
              <w:top w:val="single" w:sz="4" w:space="0" w:color="auto"/>
              <w:left w:val="single" w:sz="4" w:space="0" w:color="auto"/>
              <w:bottom w:val="single" w:sz="4" w:space="0" w:color="auto"/>
              <w:right w:val="single" w:sz="4" w:space="0" w:color="auto"/>
            </w:tcBorders>
            <w:hideMark/>
          </w:tcPr>
          <w:p w14:paraId="3572782B" w14:textId="77777777" w:rsidR="00550527" w:rsidRDefault="00550527">
            <w:pPr>
              <w:spacing w:line="256" w:lineRule="auto"/>
              <w:rPr>
                <w:sz w:val="20"/>
              </w:rPr>
            </w:pPr>
            <w:r>
              <w:rPr>
                <w:sz w:val="20"/>
              </w:rPr>
              <w:t>AAACAAGTGGTTATAGATGGTGAAAC</w:t>
            </w:r>
          </w:p>
        </w:tc>
        <w:tc>
          <w:tcPr>
            <w:tcW w:w="1134" w:type="dxa"/>
            <w:vMerge w:val="restart"/>
            <w:tcBorders>
              <w:top w:val="single" w:sz="4" w:space="0" w:color="auto"/>
              <w:left w:val="single" w:sz="4" w:space="0" w:color="auto"/>
              <w:bottom w:val="single" w:sz="4" w:space="0" w:color="auto"/>
              <w:right w:val="single" w:sz="4" w:space="0" w:color="auto"/>
            </w:tcBorders>
          </w:tcPr>
          <w:p w14:paraId="0378CBB6" w14:textId="77777777" w:rsidR="00550527" w:rsidRDefault="00550527">
            <w:pPr>
              <w:spacing w:line="256" w:lineRule="auto"/>
              <w:rPr>
                <w:sz w:val="20"/>
              </w:rPr>
            </w:pPr>
          </w:p>
          <w:p w14:paraId="4C2BC089" w14:textId="77777777" w:rsidR="00550527" w:rsidRDefault="00550527">
            <w:pPr>
              <w:spacing w:line="256" w:lineRule="auto"/>
              <w:rPr>
                <w:sz w:val="20"/>
              </w:rPr>
            </w:pPr>
            <w:r>
              <w:rPr>
                <w:sz w:val="20"/>
              </w:rPr>
              <w:t>165bp</w:t>
            </w:r>
          </w:p>
        </w:tc>
      </w:tr>
      <w:tr w:rsidR="00550527" w14:paraId="1FA31F77"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46008CA1" w14:textId="77777777" w:rsidR="00550527" w:rsidRDefault="00550527">
            <w:pPr>
              <w:spacing w:line="256" w:lineRule="auto"/>
              <w:rPr>
                <w:rFonts w:eastAsia="Times New Roman" w:cs="Times New Roman"/>
                <w:b/>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1E1FCC11" w14:textId="77777777" w:rsidR="00550527" w:rsidRDefault="00550527">
            <w:pPr>
              <w:spacing w:line="256" w:lineRule="auto"/>
              <w:rPr>
                <w:sz w:val="20"/>
              </w:rPr>
            </w:pPr>
            <w:r>
              <w:rPr>
                <w:sz w:val="20"/>
              </w:rPr>
              <w:t>NRASex3A</w:t>
            </w:r>
          </w:p>
        </w:tc>
        <w:tc>
          <w:tcPr>
            <w:tcW w:w="4111" w:type="dxa"/>
            <w:tcBorders>
              <w:top w:val="single" w:sz="4" w:space="0" w:color="auto"/>
              <w:left w:val="single" w:sz="4" w:space="0" w:color="auto"/>
              <w:bottom w:val="single" w:sz="4" w:space="0" w:color="auto"/>
              <w:right w:val="single" w:sz="4" w:space="0" w:color="auto"/>
            </w:tcBorders>
            <w:hideMark/>
          </w:tcPr>
          <w:p w14:paraId="44E457E8" w14:textId="77777777" w:rsidR="00550527" w:rsidRDefault="00550527">
            <w:pPr>
              <w:spacing w:line="256" w:lineRule="auto"/>
              <w:rPr>
                <w:sz w:val="20"/>
              </w:rPr>
            </w:pPr>
            <w:r>
              <w:rPr>
                <w:sz w:val="20"/>
              </w:rPr>
              <w:t>GTAGAGGTTAATATCCGCAAATGAC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0D2DCF" w14:textId="77777777" w:rsidR="00550527" w:rsidRDefault="00550527">
            <w:pPr>
              <w:spacing w:line="256" w:lineRule="auto"/>
              <w:rPr>
                <w:rFonts w:eastAsia="Times New Roman" w:cs="Times New Roman"/>
                <w:color w:val="000000"/>
                <w:sz w:val="20"/>
              </w:rPr>
            </w:pPr>
          </w:p>
        </w:tc>
      </w:tr>
      <w:tr w:rsidR="00550527" w14:paraId="42E76E8F"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4FFAD3B9" w14:textId="77777777" w:rsidR="00550527" w:rsidRDefault="00550527">
            <w:pPr>
              <w:spacing w:line="256" w:lineRule="auto"/>
              <w:rPr>
                <w:rFonts w:eastAsia="Times New Roman" w:cs="Times New Roman"/>
                <w:b/>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64994296" w14:textId="77777777" w:rsidR="00550527" w:rsidRDefault="00550527">
            <w:pPr>
              <w:spacing w:line="256" w:lineRule="auto"/>
              <w:rPr>
                <w:sz w:val="20"/>
              </w:rPr>
            </w:pPr>
            <w:r>
              <w:rPr>
                <w:sz w:val="20"/>
              </w:rPr>
              <w:t>NRASex4S</w:t>
            </w:r>
          </w:p>
        </w:tc>
        <w:tc>
          <w:tcPr>
            <w:tcW w:w="4111" w:type="dxa"/>
            <w:tcBorders>
              <w:top w:val="single" w:sz="4" w:space="0" w:color="auto"/>
              <w:left w:val="single" w:sz="4" w:space="0" w:color="auto"/>
              <w:bottom w:val="single" w:sz="4" w:space="0" w:color="auto"/>
              <w:right w:val="single" w:sz="4" w:space="0" w:color="auto"/>
            </w:tcBorders>
            <w:hideMark/>
          </w:tcPr>
          <w:p w14:paraId="669C6149" w14:textId="77777777" w:rsidR="00550527" w:rsidRDefault="00550527">
            <w:pPr>
              <w:spacing w:line="256" w:lineRule="auto"/>
              <w:rPr>
                <w:sz w:val="20"/>
              </w:rPr>
            </w:pPr>
            <w:r>
              <w:rPr>
                <w:sz w:val="20"/>
              </w:rPr>
              <w:t>CACTGTACCCAGCCTAATC</w:t>
            </w:r>
          </w:p>
        </w:tc>
        <w:tc>
          <w:tcPr>
            <w:tcW w:w="1134" w:type="dxa"/>
            <w:vMerge w:val="restart"/>
            <w:tcBorders>
              <w:top w:val="single" w:sz="4" w:space="0" w:color="auto"/>
              <w:left w:val="single" w:sz="4" w:space="0" w:color="auto"/>
              <w:bottom w:val="single" w:sz="4" w:space="0" w:color="auto"/>
              <w:right w:val="single" w:sz="4" w:space="0" w:color="auto"/>
            </w:tcBorders>
          </w:tcPr>
          <w:p w14:paraId="184D23D6" w14:textId="77777777" w:rsidR="00550527" w:rsidRDefault="00550527">
            <w:pPr>
              <w:spacing w:line="256" w:lineRule="auto"/>
              <w:rPr>
                <w:sz w:val="20"/>
              </w:rPr>
            </w:pPr>
          </w:p>
          <w:p w14:paraId="626474F3" w14:textId="77777777" w:rsidR="00550527" w:rsidRDefault="00550527">
            <w:pPr>
              <w:spacing w:line="256" w:lineRule="auto"/>
              <w:rPr>
                <w:sz w:val="20"/>
              </w:rPr>
            </w:pPr>
            <w:r>
              <w:rPr>
                <w:sz w:val="20"/>
              </w:rPr>
              <w:t>278bp</w:t>
            </w:r>
          </w:p>
        </w:tc>
      </w:tr>
      <w:tr w:rsidR="00550527" w14:paraId="72CBDABB"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43894D73" w14:textId="77777777" w:rsidR="00550527" w:rsidRDefault="00550527">
            <w:pPr>
              <w:spacing w:line="256" w:lineRule="auto"/>
              <w:rPr>
                <w:rFonts w:eastAsia="Times New Roman" w:cs="Times New Roman"/>
                <w:b/>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056D0508" w14:textId="77777777" w:rsidR="00550527" w:rsidRDefault="00550527">
            <w:pPr>
              <w:spacing w:line="256" w:lineRule="auto"/>
              <w:rPr>
                <w:sz w:val="20"/>
              </w:rPr>
            </w:pPr>
            <w:r>
              <w:rPr>
                <w:sz w:val="20"/>
              </w:rPr>
              <w:t>NRASex4A</w:t>
            </w:r>
          </w:p>
        </w:tc>
        <w:tc>
          <w:tcPr>
            <w:tcW w:w="4111" w:type="dxa"/>
            <w:tcBorders>
              <w:top w:val="single" w:sz="4" w:space="0" w:color="auto"/>
              <w:left w:val="single" w:sz="4" w:space="0" w:color="auto"/>
              <w:bottom w:val="single" w:sz="4" w:space="0" w:color="auto"/>
              <w:right w:val="single" w:sz="4" w:space="0" w:color="auto"/>
            </w:tcBorders>
            <w:hideMark/>
          </w:tcPr>
          <w:p w14:paraId="4266A5A0" w14:textId="77777777" w:rsidR="00550527" w:rsidRDefault="00550527">
            <w:pPr>
              <w:spacing w:line="256" w:lineRule="auto"/>
              <w:rPr>
                <w:sz w:val="20"/>
              </w:rPr>
            </w:pPr>
            <w:r>
              <w:rPr>
                <w:sz w:val="20"/>
              </w:rPr>
              <w:t>CTACCAGAGTTAATCAACTGATG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ECBAEC" w14:textId="77777777" w:rsidR="00550527" w:rsidRDefault="00550527">
            <w:pPr>
              <w:spacing w:line="256" w:lineRule="auto"/>
              <w:rPr>
                <w:rFonts w:eastAsia="Times New Roman" w:cs="Times New Roman"/>
                <w:color w:val="000000"/>
                <w:sz w:val="20"/>
              </w:rPr>
            </w:pPr>
          </w:p>
        </w:tc>
      </w:tr>
      <w:tr w:rsidR="00550527" w14:paraId="7310E257" w14:textId="77777777" w:rsidTr="00550527">
        <w:tc>
          <w:tcPr>
            <w:tcW w:w="1537" w:type="dxa"/>
            <w:vMerge w:val="restart"/>
            <w:tcBorders>
              <w:top w:val="single" w:sz="4" w:space="0" w:color="auto"/>
              <w:left w:val="single" w:sz="4" w:space="0" w:color="auto"/>
              <w:bottom w:val="single" w:sz="4" w:space="0" w:color="auto"/>
              <w:right w:val="single" w:sz="4" w:space="0" w:color="auto"/>
            </w:tcBorders>
            <w:hideMark/>
          </w:tcPr>
          <w:p w14:paraId="11932076" w14:textId="77777777" w:rsidR="00550527" w:rsidRDefault="00550527">
            <w:pPr>
              <w:spacing w:line="256" w:lineRule="auto"/>
              <w:rPr>
                <w:b/>
                <w:sz w:val="20"/>
              </w:rPr>
            </w:pPr>
            <w:r>
              <w:rPr>
                <w:b/>
                <w:sz w:val="20"/>
              </w:rPr>
              <w:t>HPV16E6</w:t>
            </w:r>
          </w:p>
        </w:tc>
        <w:tc>
          <w:tcPr>
            <w:tcW w:w="2711" w:type="dxa"/>
            <w:tcBorders>
              <w:top w:val="single" w:sz="4" w:space="0" w:color="auto"/>
              <w:left w:val="single" w:sz="4" w:space="0" w:color="auto"/>
              <w:bottom w:val="single" w:sz="4" w:space="0" w:color="auto"/>
              <w:right w:val="single" w:sz="4" w:space="0" w:color="auto"/>
            </w:tcBorders>
            <w:hideMark/>
          </w:tcPr>
          <w:p w14:paraId="54511154" w14:textId="77777777" w:rsidR="00550527" w:rsidRDefault="00550527">
            <w:pPr>
              <w:spacing w:line="256" w:lineRule="auto"/>
              <w:rPr>
                <w:sz w:val="20"/>
              </w:rPr>
            </w:pPr>
            <w:r>
              <w:rPr>
                <w:sz w:val="20"/>
              </w:rPr>
              <w:t>HPV16E6S</w:t>
            </w:r>
          </w:p>
        </w:tc>
        <w:tc>
          <w:tcPr>
            <w:tcW w:w="4111" w:type="dxa"/>
            <w:tcBorders>
              <w:top w:val="single" w:sz="4" w:space="0" w:color="auto"/>
              <w:left w:val="single" w:sz="4" w:space="0" w:color="auto"/>
              <w:bottom w:val="single" w:sz="4" w:space="0" w:color="auto"/>
              <w:right w:val="single" w:sz="4" w:space="0" w:color="auto"/>
            </w:tcBorders>
            <w:hideMark/>
          </w:tcPr>
          <w:p w14:paraId="4512A1C7" w14:textId="77777777" w:rsidR="00550527" w:rsidRDefault="00550527">
            <w:pPr>
              <w:spacing w:line="256" w:lineRule="auto"/>
              <w:rPr>
                <w:sz w:val="20"/>
              </w:rPr>
            </w:pPr>
            <w:r>
              <w:rPr>
                <w:sz w:val="20"/>
              </w:rPr>
              <w:t>AGTTACTGCGACGTGAGGTATA</w:t>
            </w:r>
          </w:p>
        </w:tc>
        <w:tc>
          <w:tcPr>
            <w:tcW w:w="1134" w:type="dxa"/>
            <w:vMerge w:val="restart"/>
            <w:tcBorders>
              <w:top w:val="single" w:sz="4" w:space="0" w:color="auto"/>
              <w:left w:val="single" w:sz="4" w:space="0" w:color="auto"/>
              <w:bottom w:val="single" w:sz="4" w:space="0" w:color="auto"/>
              <w:right w:val="single" w:sz="4" w:space="0" w:color="auto"/>
            </w:tcBorders>
          </w:tcPr>
          <w:p w14:paraId="76D51619" w14:textId="77777777" w:rsidR="00550527" w:rsidRDefault="00550527">
            <w:pPr>
              <w:spacing w:line="256" w:lineRule="auto"/>
              <w:rPr>
                <w:bCs/>
                <w:sz w:val="20"/>
              </w:rPr>
            </w:pPr>
          </w:p>
          <w:p w14:paraId="67BDAFDF" w14:textId="77777777" w:rsidR="00550527" w:rsidRDefault="00550527">
            <w:pPr>
              <w:spacing w:line="256" w:lineRule="auto"/>
              <w:rPr>
                <w:sz w:val="20"/>
              </w:rPr>
            </w:pPr>
            <w:r>
              <w:rPr>
                <w:bCs/>
                <w:sz w:val="20"/>
              </w:rPr>
              <w:t>170 bp</w:t>
            </w:r>
          </w:p>
        </w:tc>
      </w:tr>
      <w:tr w:rsidR="00550527" w14:paraId="71291921"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69C805C2" w14:textId="77777777" w:rsidR="00550527" w:rsidRDefault="00550527">
            <w:pPr>
              <w:spacing w:line="256" w:lineRule="auto"/>
              <w:rPr>
                <w:rFonts w:eastAsia="Times New Roman" w:cs="Times New Roman"/>
                <w:b/>
                <w:sz w:val="20"/>
              </w:rPr>
            </w:pPr>
          </w:p>
        </w:tc>
        <w:tc>
          <w:tcPr>
            <w:tcW w:w="2711" w:type="dxa"/>
            <w:tcBorders>
              <w:top w:val="single" w:sz="4" w:space="0" w:color="auto"/>
              <w:left w:val="single" w:sz="4" w:space="0" w:color="auto"/>
              <w:bottom w:val="single" w:sz="4" w:space="0" w:color="auto"/>
              <w:right w:val="single" w:sz="4" w:space="0" w:color="auto"/>
            </w:tcBorders>
            <w:hideMark/>
          </w:tcPr>
          <w:p w14:paraId="3991E1E2" w14:textId="77777777" w:rsidR="00550527" w:rsidRDefault="00550527">
            <w:pPr>
              <w:spacing w:line="256" w:lineRule="auto"/>
              <w:rPr>
                <w:color w:val="000000"/>
                <w:sz w:val="20"/>
              </w:rPr>
            </w:pPr>
            <w:r>
              <w:rPr>
                <w:sz w:val="20"/>
              </w:rPr>
              <w:t>HPV16E6A</w:t>
            </w:r>
          </w:p>
        </w:tc>
        <w:tc>
          <w:tcPr>
            <w:tcW w:w="4111" w:type="dxa"/>
            <w:tcBorders>
              <w:top w:val="single" w:sz="4" w:space="0" w:color="auto"/>
              <w:left w:val="single" w:sz="4" w:space="0" w:color="auto"/>
              <w:bottom w:val="single" w:sz="4" w:space="0" w:color="auto"/>
              <w:right w:val="single" w:sz="4" w:space="0" w:color="auto"/>
            </w:tcBorders>
            <w:hideMark/>
          </w:tcPr>
          <w:p w14:paraId="2C935EFD" w14:textId="77777777" w:rsidR="00550527" w:rsidRDefault="00550527">
            <w:pPr>
              <w:spacing w:line="256" w:lineRule="auto"/>
              <w:rPr>
                <w:sz w:val="20"/>
              </w:rPr>
            </w:pPr>
            <w:r>
              <w:rPr>
                <w:sz w:val="20"/>
              </w:rPr>
              <w:t>GTATTGCTGTTCTAATGTTGTTCCA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AFD91E" w14:textId="77777777" w:rsidR="00550527" w:rsidRDefault="00550527">
            <w:pPr>
              <w:spacing w:line="256" w:lineRule="auto"/>
              <w:rPr>
                <w:rFonts w:eastAsia="Times New Roman" w:cs="Times New Roman"/>
                <w:sz w:val="20"/>
              </w:rPr>
            </w:pPr>
          </w:p>
        </w:tc>
      </w:tr>
      <w:tr w:rsidR="00550527" w14:paraId="39165061" w14:textId="77777777" w:rsidTr="00550527">
        <w:tc>
          <w:tcPr>
            <w:tcW w:w="1537" w:type="dxa"/>
            <w:vMerge w:val="restart"/>
            <w:tcBorders>
              <w:top w:val="single" w:sz="4" w:space="0" w:color="auto"/>
              <w:left w:val="single" w:sz="4" w:space="0" w:color="auto"/>
              <w:bottom w:val="single" w:sz="4" w:space="0" w:color="auto"/>
              <w:right w:val="single" w:sz="4" w:space="0" w:color="auto"/>
            </w:tcBorders>
            <w:hideMark/>
          </w:tcPr>
          <w:p w14:paraId="50B600E5" w14:textId="77777777" w:rsidR="00550527" w:rsidRDefault="00550527">
            <w:pPr>
              <w:spacing w:line="256" w:lineRule="auto"/>
              <w:rPr>
                <w:b/>
                <w:sz w:val="20"/>
              </w:rPr>
            </w:pPr>
            <w:r>
              <w:rPr>
                <w:b/>
                <w:sz w:val="20"/>
              </w:rPr>
              <w:t>HPV18E6</w:t>
            </w:r>
          </w:p>
        </w:tc>
        <w:tc>
          <w:tcPr>
            <w:tcW w:w="2711" w:type="dxa"/>
            <w:tcBorders>
              <w:top w:val="single" w:sz="4" w:space="0" w:color="auto"/>
              <w:left w:val="single" w:sz="4" w:space="0" w:color="auto"/>
              <w:bottom w:val="single" w:sz="4" w:space="0" w:color="auto"/>
              <w:right w:val="single" w:sz="4" w:space="0" w:color="auto"/>
            </w:tcBorders>
            <w:hideMark/>
          </w:tcPr>
          <w:p w14:paraId="714D3F69" w14:textId="77777777" w:rsidR="00550527" w:rsidRDefault="00550527">
            <w:pPr>
              <w:spacing w:line="256" w:lineRule="auto"/>
              <w:rPr>
                <w:sz w:val="20"/>
              </w:rPr>
            </w:pPr>
            <w:r>
              <w:rPr>
                <w:sz w:val="20"/>
              </w:rPr>
              <w:t>HPV18E6S</w:t>
            </w:r>
          </w:p>
        </w:tc>
        <w:tc>
          <w:tcPr>
            <w:tcW w:w="4111" w:type="dxa"/>
            <w:tcBorders>
              <w:top w:val="single" w:sz="4" w:space="0" w:color="auto"/>
              <w:left w:val="single" w:sz="4" w:space="0" w:color="auto"/>
              <w:bottom w:val="single" w:sz="4" w:space="0" w:color="auto"/>
              <w:right w:val="single" w:sz="4" w:space="0" w:color="auto"/>
            </w:tcBorders>
            <w:hideMark/>
          </w:tcPr>
          <w:p w14:paraId="3B868067" w14:textId="77777777" w:rsidR="00550527" w:rsidRDefault="00550527">
            <w:pPr>
              <w:spacing w:line="256" w:lineRule="auto"/>
              <w:rPr>
                <w:sz w:val="20"/>
              </w:rPr>
            </w:pPr>
            <w:r>
              <w:rPr>
                <w:sz w:val="20"/>
              </w:rPr>
              <w:t>AGACAGTATTGGAACTTACAGAGG</w:t>
            </w:r>
          </w:p>
        </w:tc>
        <w:tc>
          <w:tcPr>
            <w:tcW w:w="1134" w:type="dxa"/>
            <w:vMerge w:val="restart"/>
            <w:tcBorders>
              <w:top w:val="single" w:sz="4" w:space="0" w:color="auto"/>
              <w:left w:val="single" w:sz="4" w:space="0" w:color="auto"/>
              <w:bottom w:val="single" w:sz="4" w:space="0" w:color="auto"/>
              <w:right w:val="single" w:sz="4" w:space="0" w:color="auto"/>
            </w:tcBorders>
          </w:tcPr>
          <w:p w14:paraId="31F8C091" w14:textId="77777777" w:rsidR="00550527" w:rsidRDefault="00550527">
            <w:pPr>
              <w:spacing w:line="256" w:lineRule="auto"/>
              <w:rPr>
                <w:sz w:val="20"/>
              </w:rPr>
            </w:pPr>
          </w:p>
          <w:p w14:paraId="2F0049A7" w14:textId="77777777" w:rsidR="00550527" w:rsidRDefault="00550527">
            <w:pPr>
              <w:spacing w:line="256" w:lineRule="auto"/>
              <w:rPr>
                <w:sz w:val="20"/>
              </w:rPr>
            </w:pPr>
            <w:r>
              <w:rPr>
                <w:sz w:val="20"/>
              </w:rPr>
              <w:t xml:space="preserve">217bp </w:t>
            </w:r>
          </w:p>
        </w:tc>
      </w:tr>
      <w:tr w:rsidR="00550527" w14:paraId="695F727B"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2816625F" w14:textId="77777777" w:rsidR="00550527" w:rsidRDefault="00550527">
            <w:pPr>
              <w:spacing w:line="256" w:lineRule="auto"/>
              <w:rPr>
                <w:rFonts w:eastAsia="Times New Roman" w:cs="Times New Roman"/>
                <w:b/>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7DC894C6" w14:textId="77777777" w:rsidR="00550527" w:rsidRDefault="00550527">
            <w:pPr>
              <w:spacing w:line="256" w:lineRule="auto"/>
              <w:rPr>
                <w:sz w:val="20"/>
              </w:rPr>
            </w:pPr>
            <w:r>
              <w:rPr>
                <w:sz w:val="20"/>
              </w:rPr>
              <w:t>HPV18E6A</w:t>
            </w:r>
          </w:p>
        </w:tc>
        <w:tc>
          <w:tcPr>
            <w:tcW w:w="4111" w:type="dxa"/>
            <w:tcBorders>
              <w:top w:val="single" w:sz="4" w:space="0" w:color="auto"/>
              <w:left w:val="single" w:sz="4" w:space="0" w:color="auto"/>
              <w:bottom w:val="single" w:sz="4" w:space="0" w:color="auto"/>
              <w:right w:val="single" w:sz="4" w:space="0" w:color="auto"/>
            </w:tcBorders>
            <w:hideMark/>
          </w:tcPr>
          <w:p w14:paraId="13006DF6" w14:textId="77777777" w:rsidR="00550527" w:rsidRDefault="00550527">
            <w:pPr>
              <w:spacing w:line="256" w:lineRule="auto"/>
              <w:rPr>
                <w:sz w:val="20"/>
              </w:rPr>
            </w:pPr>
            <w:r>
              <w:rPr>
                <w:sz w:val="20"/>
              </w:rPr>
              <w:t>CACCGCAGGCACCTTATTAA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873DED" w14:textId="77777777" w:rsidR="00550527" w:rsidRDefault="00550527">
            <w:pPr>
              <w:spacing w:line="256" w:lineRule="auto"/>
              <w:rPr>
                <w:rFonts w:eastAsia="Times New Roman" w:cs="Times New Roman"/>
                <w:color w:val="000000"/>
                <w:sz w:val="20"/>
              </w:rPr>
            </w:pPr>
          </w:p>
        </w:tc>
      </w:tr>
      <w:tr w:rsidR="00550527" w14:paraId="2D5F0B42" w14:textId="77777777" w:rsidTr="00550527">
        <w:tc>
          <w:tcPr>
            <w:tcW w:w="1537" w:type="dxa"/>
            <w:vMerge w:val="restart"/>
            <w:tcBorders>
              <w:top w:val="single" w:sz="4" w:space="0" w:color="auto"/>
              <w:left w:val="single" w:sz="4" w:space="0" w:color="auto"/>
              <w:bottom w:val="single" w:sz="4" w:space="0" w:color="auto"/>
              <w:right w:val="single" w:sz="4" w:space="0" w:color="auto"/>
            </w:tcBorders>
            <w:hideMark/>
          </w:tcPr>
          <w:p w14:paraId="0DB7BA2B" w14:textId="77777777" w:rsidR="00550527" w:rsidRDefault="00550527">
            <w:pPr>
              <w:spacing w:line="256" w:lineRule="auto"/>
              <w:rPr>
                <w:b/>
                <w:sz w:val="20"/>
              </w:rPr>
            </w:pPr>
            <w:r>
              <w:rPr>
                <w:b/>
                <w:sz w:val="20"/>
              </w:rPr>
              <w:t>HPV33E6</w:t>
            </w:r>
          </w:p>
        </w:tc>
        <w:tc>
          <w:tcPr>
            <w:tcW w:w="2711" w:type="dxa"/>
            <w:tcBorders>
              <w:top w:val="single" w:sz="4" w:space="0" w:color="auto"/>
              <w:left w:val="single" w:sz="4" w:space="0" w:color="auto"/>
              <w:bottom w:val="single" w:sz="4" w:space="0" w:color="auto"/>
              <w:right w:val="single" w:sz="4" w:space="0" w:color="auto"/>
            </w:tcBorders>
            <w:hideMark/>
          </w:tcPr>
          <w:p w14:paraId="5C6DC329" w14:textId="77777777" w:rsidR="00550527" w:rsidRDefault="00550527">
            <w:pPr>
              <w:spacing w:line="256" w:lineRule="auto"/>
              <w:rPr>
                <w:sz w:val="20"/>
              </w:rPr>
            </w:pPr>
            <w:r>
              <w:rPr>
                <w:sz w:val="20"/>
              </w:rPr>
              <w:t>HPV33E6S</w:t>
            </w:r>
          </w:p>
        </w:tc>
        <w:tc>
          <w:tcPr>
            <w:tcW w:w="4111" w:type="dxa"/>
            <w:tcBorders>
              <w:top w:val="single" w:sz="4" w:space="0" w:color="auto"/>
              <w:left w:val="single" w:sz="4" w:space="0" w:color="auto"/>
              <w:bottom w:val="single" w:sz="4" w:space="0" w:color="auto"/>
              <w:right w:val="single" w:sz="4" w:space="0" w:color="auto"/>
            </w:tcBorders>
            <w:hideMark/>
          </w:tcPr>
          <w:p w14:paraId="79E4D6EE" w14:textId="77777777" w:rsidR="00550527" w:rsidRDefault="00550527">
            <w:pPr>
              <w:spacing w:line="256" w:lineRule="auto"/>
              <w:rPr>
                <w:sz w:val="20"/>
              </w:rPr>
            </w:pPr>
            <w:r>
              <w:rPr>
                <w:sz w:val="20"/>
              </w:rPr>
              <w:t>TGGAGACAACTATACACAACATTGA</w:t>
            </w:r>
          </w:p>
        </w:tc>
        <w:tc>
          <w:tcPr>
            <w:tcW w:w="1134" w:type="dxa"/>
            <w:vMerge w:val="restart"/>
            <w:tcBorders>
              <w:top w:val="single" w:sz="4" w:space="0" w:color="auto"/>
              <w:left w:val="single" w:sz="4" w:space="0" w:color="auto"/>
              <w:bottom w:val="single" w:sz="4" w:space="0" w:color="auto"/>
              <w:right w:val="single" w:sz="4" w:space="0" w:color="auto"/>
            </w:tcBorders>
          </w:tcPr>
          <w:p w14:paraId="5B165CE6" w14:textId="77777777" w:rsidR="00550527" w:rsidRDefault="00550527">
            <w:pPr>
              <w:spacing w:line="256" w:lineRule="auto"/>
              <w:rPr>
                <w:sz w:val="20"/>
              </w:rPr>
            </w:pPr>
          </w:p>
          <w:p w14:paraId="03F6C7E3" w14:textId="77777777" w:rsidR="00550527" w:rsidRDefault="00550527">
            <w:pPr>
              <w:spacing w:line="256" w:lineRule="auto"/>
              <w:rPr>
                <w:sz w:val="20"/>
              </w:rPr>
            </w:pPr>
            <w:r>
              <w:rPr>
                <w:sz w:val="20"/>
              </w:rPr>
              <w:lastRenderedPageBreak/>
              <w:t>160bp</w:t>
            </w:r>
          </w:p>
        </w:tc>
      </w:tr>
      <w:tr w:rsidR="00550527" w14:paraId="399FACBC"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323FBADE" w14:textId="77777777" w:rsidR="00550527" w:rsidRDefault="00550527">
            <w:pPr>
              <w:spacing w:line="256" w:lineRule="auto"/>
              <w:rPr>
                <w:rFonts w:eastAsia="Times New Roman" w:cs="Times New Roman"/>
                <w:b/>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51F0B2F6" w14:textId="77777777" w:rsidR="00550527" w:rsidRDefault="00550527">
            <w:pPr>
              <w:spacing w:line="256" w:lineRule="auto"/>
              <w:rPr>
                <w:sz w:val="20"/>
              </w:rPr>
            </w:pPr>
            <w:r>
              <w:rPr>
                <w:sz w:val="20"/>
              </w:rPr>
              <w:t>HPV33E6A</w:t>
            </w:r>
          </w:p>
        </w:tc>
        <w:tc>
          <w:tcPr>
            <w:tcW w:w="4111" w:type="dxa"/>
            <w:tcBorders>
              <w:top w:val="single" w:sz="4" w:space="0" w:color="auto"/>
              <w:left w:val="single" w:sz="4" w:space="0" w:color="auto"/>
              <w:bottom w:val="single" w:sz="4" w:space="0" w:color="auto"/>
              <w:right w:val="single" w:sz="4" w:space="0" w:color="auto"/>
            </w:tcBorders>
            <w:hideMark/>
          </w:tcPr>
          <w:p w14:paraId="1A0E58D1" w14:textId="77777777" w:rsidR="00550527" w:rsidRDefault="00550527">
            <w:pPr>
              <w:spacing w:line="256" w:lineRule="auto"/>
              <w:rPr>
                <w:sz w:val="20"/>
              </w:rPr>
            </w:pPr>
            <w:r>
              <w:rPr>
                <w:sz w:val="20"/>
              </w:rPr>
              <w:t>TTAGATAAGAACCGCAAACACAGT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720E69" w14:textId="77777777" w:rsidR="00550527" w:rsidRDefault="00550527">
            <w:pPr>
              <w:spacing w:line="256" w:lineRule="auto"/>
              <w:rPr>
                <w:rFonts w:eastAsia="Times New Roman" w:cs="Times New Roman"/>
                <w:color w:val="000000"/>
                <w:sz w:val="20"/>
              </w:rPr>
            </w:pPr>
          </w:p>
        </w:tc>
      </w:tr>
      <w:tr w:rsidR="00550527" w14:paraId="04558DB3" w14:textId="77777777" w:rsidTr="00550527">
        <w:tc>
          <w:tcPr>
            <w:tcW w:w="1537" w:type="dxa"/>
            <w:tcBorders>
              <w:top w:val="single" w:sz="4" w:space="0" w:color="auto"/>
              <w:left w:val="single" w:sz="4" w:space="0" w:color="auto"/>
              <w:bottom w:val="single" w:sz="4" w:space="0" w:color="auto"/>
              <w:right w:val="single" w:sz="4" w:space="0" w:color="auto"/>
            </w:tcBorders>
            <w:hideMark/>
          </w:tcPr>
          <w:p w14:paraId="3DB272ED" w14:textId="77777777" w:rsidR="00550527" w:rsidRDefault="00550527">
            <w:pPr>
              <w:spacing w:line="256" w:lineRule="auto"/>
            </w:pPr>
            <w:r>
              <w:rPr>
                <w:b/>
                <w:sz w:val="20"/>
              </w:rPr>
              <w:t>HPV31E6</w:t>
            </w:r>
          </w:p>
        </w:tc>
        <w:tc>
          <w:tcPr>
            <w:tcW w:w="2711" w:type="dxa"/>
            <w:tcBorders>
              <w:top w:val="single" w:sz="4" w:space="0" w:color="auto"/>
              <w:left w:val="single" w:sz="4" w:space="0" w:color="auto"/>
              <w:bottom w:val="single" w:sz="4" w:space="0" w:color="auto"/>
              <w:right w:val="single" w:sz="4" w:space="0" w:color="auto"/>
            </w:tcBorders>
            <w:hideMark/>
          </w:tcPr>
          <w:p w14:paraId="01EFC4A5" w14:textId="77777777" w:rsidR="00550527" w:rsidRDefault="00550527">
            <w:pPr>
              <w:spacing w:line="256" w:lineRule="auto"/>
              <w:rPr>
                <w:sz w:val="20"/>
              </w:rPr>
            </w:pPr>
            <w:r>
              <w:rPr>
                <w:sz w:val="20"/>
              </w:rPr>
              <w:t>HPV31E6S</w:t>
            </w:r>
          </w:p>
        </w:tc>
        <w:tc>
          <w:tcPr>
            <w:tcW w:w="4111" w:type="dxa"/>
            <w:tcBorders>
              <w:top w:val="single" w:sz="4" w:space="0" w:color="auto"/>
              <w:left w:val="single" w:sz="4" w:space="0" w:color="auto"/>
              <w:bottom w:val="single" w:sz="4" w:space="0" w:color="auto"/>
              <w:right w:val="single" w:sz="4" w:space="0" w:color="auto"/>
            </w:tcBorders>
            <w:hideMark/>
          </w:tcPr>
          <w:p w14:paraId="6657998C" w14:textId="77777777" w:rsidR="00550527" w:rsidRDefault="00550527">
            <w:pPr>
              <w:spacing w:line="256" w:lineRule="auto"/>
              <w:rPr>
                <w:sz w:val="20"/>
              </w:rPr>
            </w:pPr>
            <w:r>
              <w:rPr>
                <w:sz w:val="20"/>
              </w:rPr>
              <w:t>ACTAAGATTGAATTGTGTCTACTGC</w:t>
            </w:r>
          </w:p>
        </w:tc>
        <w:tc>
          <w:tcPr>
            <w:tcW w:w="1134" w:type="dxa"/>
            <w:vMerge w:val="restart"/>
            <w:tcBorders>
              <w:top w:val="single" w:sz="4" w:space="0" w:color="auto"/>
              <w:left w:val="single" w:sz="4" w:space="0" w:color="auto"/>
              <w:bottom w:val="single" w:sz="4" w:space="0" w:color="auto"/>
              <w:right w:val="single" w:sz="4" w:space="0" w:color="auto"/>
            </w:tcBorders>
          </w:tcPr>
          <w:p w14:paraId="49AA8520" w14:textId="77777777" w:rsidR="00550527" w:rsidRDefault="00550527">
            <w:pPr>
              <w:spacing w:line="256" w:lineRule="auto"/>
              <w:rPr>
                <w:sz w:val="20"/>
              </w:rPr>
            </w:pPr>
          </w:p>
          <w:p w14:paraId="2DC1F15F" w14:textId="77777777" w:rsidR="00550527" w:rsidRDefault="00550527">
            <w:pPr>
              <w:spacing w:line="256" w:lineRule="auto"/>
              <w:rPr>
                <w:sz w:val="20"/>
              </w:rPr>
            </w:pPr>
            <w:r>
              <w:rPr>
                <w:sz w:val="20"/>
              </w:rPr>
              <w:t>311bp</w:t>
            </w:r>
          </w:p>
        </w:tc>
      </w:tr>
      <w:tr w:rsidR="00550527" w14:paraId="6A54BF83" w14:textId="77777777" w:rsidTr="00550527">
        <w:tc>
          <w:tcPr>
            <w:tcW w:w="1537" w:type="dxa"/>
            <w:tcBorders>
              <w:top w:val="single" w:sz="4" w:space="0" w:color="auto"/>
              <w:left w:val="single" w:sz="4" w:space="0" w:color="auto"/>
              <w:bottom w:val="single" w:sz="4" w:space="0" w:color="auto"/>
              <w:right w:val="single" w:sz="4" w:space="0" w:color="auto"/>
            </w:tcBorders>
          </w:tcPr>
          <w:p w14:paraId="6129CABE" w14:textId="77777777" w:rsidR="00550527" w:rsidRDefault="00550527">
            <w:pPr>
              <w:spacing w:line="256" w:lineRule="auto"/>
            </w:pPr>
          </w:p>
        </w:tc>
        <w:tc>
          <w:tcPr>
            <w:tcW w:w="2711" w:type="dxa"/>
            <w:tcBorders>
              <w:top w:val="single" w:sz="4" w:space="0" w:color="auto"/>
              <w:left w:val="single" w:sz="4" w:space="0" w:color="auto"/>
              <w:bottom w:val="single" w:sz="4" w:space="0" w:color="auto"/>
              <w:right w:val="single" w:sz="4" w:space="0" w:color="auto"/>
            </w:tcBorders>
            <w:hideMark/>
          </w:tcPr>
          <w:p w14:paraId="1B53B624" w14:textId="77777777" w:rsidR="00550527" w:rsidRDefault="00550527">
            <w:pPr>
              <w:spacing w:line="256" w:lineRule="auto"/>
              <w:rPr>
                <w:sz w:val="20"/>
              </w:rPr>
            </w:pPr>
            <w:r>
              <w:rPr>
                <w:sz w:val="20"/>
              </w:rPr>
              <w:t>HPV31E6A</w:t>
            </w:r>
          </w:p>
        </w:tc>
        <w:tc>
          <w:tcPr>
            <w:tcW w:w="4111" w:type="dxa"/>
            <w:tcBorders>
              <w:top w:val="single" w:sz="4" w:space="0" w:color="auto"/>
              <w:left w:val="single" w:sz="4" w:space="0" w:color="auto"/>
              <w:bottom w:val="single" w:sz="4" w:space="0" w:color="auto"/>
              <w:right w:val="single" w:sz="4" w:space="0" w:color="auto"/>
            </w:tcBorders>
            <w:hideMark/>
          </w:tcPr>
          <w:p w14:paraId="757F31C1" w14:textId="77777777" w:rsidR="00550527" w:rsidRDefault="00550527">
            <w:pPr>
              <w:spacing w:line="256" w:lineRule="auto"/>
              <w:rPr>
                <w:sz w:val="20"/>
              </w:rPr>
            </w:pPr>
            <w:r>
              <w:rPr>
                <w:sz w:val="20"/>
              </w:rPr>
              <w:t>CCTATGTTGTGGAATCGTCTCTTT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A4BF89" w14:textId="77777777" w:rsidR="00550527" w:rsidRDefault="00550527">
            <w:pPr>
              <w:spacing w:line="256" w:lineRule="auto"/>
              <w:rPr>
                <w:rFonts w:eastAsia="Times New Roman" w:cs="Times New Roman"/>
                <w:color w:val="000000"/>
                <w:sz w:val="20"/>
              </w:rPr>
            </w:pPr>
          </w:p>
        </w:tc>
      </w:tr>
      <w:tr w:rsidR="00550527" w14:paraId="3161F0FA" w14:textId="77777777" w:rsidTr="00550527">
        <w:tc>
          <w:tcPr>
            <w:tcW w:w="1537" w:type="dxa"/>
            <w:tcBorders>
              <w:top w:val="single" w:sz="4" w:space="0" w:color="auto"/>
              <w:left w:val="single" w:sz="4" w:space="0" w:color="auto"/>
              <w:bottom w:val="single" w:sz="4" w:space="0" w:color="auto"/>
              <w:right w:val="single" w:sz="4" w:space="0" w:color="auto"/>
            </w:tcBorders>
            <w:hideMark/>
          </w:tcPr>
          <w:p w14:paraId="5043EF23" w14:textId="77777777" w:rsidR="00550527" w:rsidRDefault="00550527">
            <w:pPr>
              <w:spacing w:line="256" w:lineRule="auto"/>
            </w:pPr>
            <w:r>
              <w:rPr>
                <w:b/>
                <w:sz w:val="20"/>
              </w:rPr>
              <w:t>HPV51E6</w:t>
            </w:r>
          </w:p>
        </w:tc>
        <w:tc>
          <w:tcPr>
            <w:tcW w:w="2711" w:type="dxa"/>
            <w:tcBorders>
              <w:top w:val="single" w:sz="4" w:space="0" w:color="auto"/>
              <w:left w:val="single" w:sz="4" w:space="0" w:color="auto"/>
              <w:bottom w:val="single" w:sz="4" w:space="0" w:color="auto"/>
              <w:right w:val="single" w:sz="4" w:space="0" w:color="auto"/>
            </w:tcBorders>
            <w:hideMark/>
          </w:tcPr>
          <w:p w14:paraId="5939F6CB" w14:textId="77777777" w:rsidR="00550527" w:rsidRDefault="00550527">
            <w:pPr>
              <w:spacing w:line="256" w:lineRule="auto"/>
              <w:rPr>
                <w:sz w:val="20"/>
              </w:rPr>
            </w:pPr>
            <w:r>
              <w:rPr>
                <w:sz w:val="20"/>
              </w:rPr>
              <w:t>HPV51S</w:t>
            </w:r>
          </w:p>
        </w:tc>
        <w:tc>
          <w:tcPr>
            <w:tcW w:w="4111" w:type="dxa"/>
            <w:tcBorders>
              <w:top w:val="single" w:sz="4" w:space="0" w:color="auto"/>
              <w:left w:val="single" w:sz="4" w:space="0" w:color="auto"/>
              <w:bottom w:val="single" w:sz="4" w:space="0" w:color="auto"/>
              <w:right w:val="single" w:sz="4" w:space="0" w:color="auto"/>
            </w:tcBorders>
            <w:hideMark/>
          </w:tcPr>
          <w:p w14:paraId="1FBDA4DC" w14:textId="77777777" w:rsidR="00550527" w:rsidRDefault="00550527">
            <w:pPr>
              <w:spacing w:line="256" w:lineRule="auto"/>
              <w:rPr>
                <w:sz w:val="20"/>
              </w:rPr>
            </w:pPr>
            <w:r>
              <w:rPr>
                <w:sz w:val="20"/>
              </w:rPr>
              <w:t>CGAAGACAAGAGGGAAAGACCAC</w:t>
            </w:r>
          </w:p>
        </w:tc>
        <w:tc>
          <w:tcPr>
            <w:tcW w:w="1134" w:type="dxa"/>
            <w:vMerge w:val="restart"/>
            <w:tcBorders>
              <w:top w:val="single" w:sz="4" w:space="0" w:color="auto"/>
              <w:left w:val="single" w:sz="4" w:space="0" w:color="auto"/>
              <w:bottom w:val="single" w:sz="4" w:space="0" w:color="auto"/>
              <w:right w:val="single" w:sz="4" w:space="0" w:color="auto"/>
            </w:tcBorders>
          </w:tcPr>
          <w:p w14:paraId="496A60F7" w14:textId="77777777" w:rsidR="00550527" w:rsidRDefault="00550527">
            <w:pPr>
              <w:spacing w:line="256" w:lineRule="auto"/>
              <w:rPr>
                <w:sz w:val="20"/>
              </w:rPr>
            </w:pPr>
          </w:p>
          <w:p w14:paraId="1116C3CB" w14:textId="77777777" w:rsidR="00550527" w:rsidRDefault="00550527">
            <w:pPr>
              <w:spacing w:line="256" w:lineRule="auto"/>
              <w:rPr>
                <w:sz w:val="20"/>
              </w:rPr>
            </w:pPr>
            <w:r>
              <w:rPr>
                <w:sz w:val="20"/>
              </w:rPr>
              <w:t>249bp</w:t>
            </w:r>
          </w:p>
        </w:tc>
      </w:tr>
      <w:tr w:rsidR="00550527" w14:paraId="0DA67854" w14:textId="77777777" w:rsidTr="00550527">
        <w:tc>
          <w:tcPr>
            <w:tcW w:w="1537" w:type="dxa"/>
            <w:tcBorders>
              <w:top w:val="single" w:sz="4" w:space="0" w:color="auto"/>
              <w:left w:val="single" w:sz="4" w:space="0" w:color="auto"/>
              <w:bottom w:val="single" w:sz="4" w:space="0" w:color="auto"/>
              <w:right w:val="single" w:sz="4" w:space="0" w:color="auto"/>
            </w:tcBorders>
          </w:tcPr>
          <w:p w14:paraId="1566836F" w14:textId="77777777" w:rsidR="00550527" w:rsidRDefault="00550527">
            <w:pPr>
              <w:spacing w:line="256" w:lineRule="auto"/>
            </w:pPr>
          </w:p>
        </w:tc>
        <w:tc>
          <w:tcPr>
            <w:tcW w:w="2711" w:type="dxa"/>
            <w:tcBorders>
              <w:top w:val="single" w:sz="4" w:space="0" w:color="auto"/>
              <w:left w:val="single" w:sz="4" w:space="0" w:color="auto"/>
              <w:bottom w:val="single" w:sz="4" w:space="0" w:color="auto"/>
              <w:right w:val="single" w:sz="4" w:space="0" w:color="auto"/>
            </w:tcBorders>
            <w:hideMark/>
          </w:tcPr>
          <w:p w14:paraId="18CD0049" w14:textId="77777777" w:rsidR="00550527" w:rsidRDefault="00550527">
            <w:pPr>
              <w:spacing w:line="256" w:lineRule="auto"/>
              <w:rPr>
                <w:sz w:val="20"/>
              </w:rPr>
            </w:pPr>
            <w:r>
              <w:rPr>
                <w:sz w:val="20"/>
              </w:rPr>
              <w:t>HPV51A</w:t>
            </w:r>
          </w:p>
        </w:tc>
        <w:tc>
          <w:tcPr>
            <w:tcW w:w="4111" w:type="dxa"/>
            <w:tcBorders>
              <w:top w:val="single" w:sz="4" w:space="0" w:color="auto"/>
              <w:left w:val="single" w:sz="4" w:space="0" w:color="auto"/>
              <w:bottom w:val="single" w:sz="4" w:space="0" w:color="auto"/>
              <w:right w:val="single" w:sz="4" w:space="0" w:color="auto"/>
            </w:tcBorders>
            <w:hideMark/>
          </w:tcPr>
          <w:p w14:paraId="0B90A486" w14:textId="77777777" w:rsidR="00550527" w:rsidRDefault="00550527">
            <w:pPr>
              <w:spacing w:line="256" w:lineRule="auto"/>
              <w:rPr>
                <w:sz w:val="20"/>
              </w:rPr>
            </w:pPr>
            <w:r>
              <w:rPr>
                <w:sz w:val="20"/>
              </w:rPr>
              <w:t>ACCATACACAGACCTGCTATAACG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045E67" w14:textId="77777777" w:rsidR="00550527" w:rsidRDefault="00550527">
            <w:pPr>
              <w:spacing w:line="256" w:lineRule="auto"/>
              <w:rPr>
                <w:rFonts w:eastAsia="Times New Roman" w:cs="Times New Roman"/>
                <w:color w:val="000000"/>
                <w:sz w:val="20"/>
              </w:rPr>
            </w:pPr>
          </w:p>
        </w:tc>
      </w:tr>
      <w:tr w:rsidR="00550527" w14:paraId="4D925861" w14:textId="77777777" w:rsidTr="00550527">
        <w:tc>
          <w:tcPr>
            <w:tcW w:w="1537" w:type="dxa"/>
            <w:vMerge w:val="restart"/>
            <w:tcBorders>
              <w:top w:val="single" w:sz="4" w:space="0" w:color="auto"/>
              <w:left w:val="single" w:sz="4" w:space="0" w:color="auto"/>
              <w:bottom w:val="single" w:sz="4" w:space="0" w:color="auto"/>
              <w:right w:val="single" w:sz="4" w:space="0" w:color="auto"/>
            </w:tcBorders>
            <w:hideMark/>
          </w:tcPr>
          <w:p w14:paraId="4662D900" w14:textId="77777777" w:rsidR="00550527" w:rsidRDefault="00550527">
            <w:pPr>
              <w:spacing w:line="256" w:lineRule="auto"/>
              <w:rPr>
                <w:sz w:val="20"/>
              </w:rPr>
            </w:pPr>
            <w:r>
              <w:rPr>
                <w:sz w:val="20"/>
              </w:rPr>
              <w:t>EGFR tyrosine kinase domain screen</w:t>
            </w:r>
          </w:p>
        </w:tc>
        <w:tc>
          <w:tcPr>
            <w:tcW w:w="2711" w:type="dxa"/>
            <w:tcBorders>
              <w:top w:val="single" w:sz="4" w:space="0" w:color="auto"/>
              <w:left w:val="single" w:sz="4" w:space="0" w:color="auto"/>
              <w:bottom w:val="single" w:sz="4" w:space="0" w:color="auto"/>
              <w:right w:val="single" w:sz="4" w:space="0" w:color="auto"/>
            </w:tcBorders>
            <w:hideMark/>
          </w:tcPr>
          <w:p w14:paraId="592BAE77" w14:textId="77777777" w:rsidR="00550527" w:rsidRDefault="00550527">
            <w:pPr>
              <w:spacing w:line="256" w:lineRule="auto"/>
              <w:rPr>
                <w:sz w:val="20"/>
              </w:rPr>
            </w:pPr>
            <w:r>
              <w:rPr>
                <w:sz w:val="20"/>
              </w:rPr>
              <w:t>EGFR TK exon18</w:t>
            </w:r>
          </w:p>
        </w:tc>
        <w:tc>
          <w:tcPr>
            <w:tcW w:w="4111" w:type="dxa"/>
            <w:tcBorders>
              <w:top w:val="single" w:sz="4" w:space="0" w:color="auto"/>
              <w:left w:val="single" w:sz="4" w:space="0" w:color="auto"/>
              <w:bottom w:val="single" w:sz="4" w:space="0" w:color="auto"/>
              <w:right w:val="single" w:sz="4" w:space="0" w:color="auto"/>
            </w:tcBorders>
            <w:hideMark/>
          </w:tcPr>
          <w:p w14:paraId="7BD0E06C" w14:textId="77777777" w:rsidR="00550527" w:rsidRDefault="00550527">
            <w:pPr>
              <w:spacing w:line="256" w:lineRule="auto"/>
              <w:jc w:val="both"/>
              <w:rPr>
                <w:sz w:val="20"/>
              </w:rPr>
            </w:pPr>
            <w:r>
              <w:rPr>
                <w:sz w:val="20"/>
              </w:rPr>
              <w:t>GTGACCCTTGTCTCTGTGTT</w:t>
            </w:r>
          </w:p>
          <w:p w14:paraId="173E7D3B" w14:textId="77777777" w:rsidR="00550527" w:rsidRDefault="00550527">
            <w:pPr>
              <w:spacing w:line="256" w:lineRule="auto"/>
              <w:rPr>
                <w:sz w:val="20"/>
              </w:rPr>
            </w:pPr>
            <w:r>
              <w:rPr>
                <w:sz w:val="20"/>
              </w:rPr>
              <w:t>CCAGGGACCTTACCTTATACA</w:t>
            </w:r>
          </w:p>
        </w:tc>
        <w:tc>
          <w:tcPr>
            <w:tcW w:w="1134" w:type="dxa"/>
            <w:tcBorders>
              <w:top w:val="single" w:sz="4" w:space="0" w:color="auto"/>
              <w:left w:val="single" w:sz="4" w:space="0" w:color="auto"/>
              <w:bottom w:val="single" w:sz="4" w:space="0" w:color="auto"/>
              <w:right w:val="single" w:sz="4" w:space="0" w:color="auto"/>
            </w:tcBorders>
            <w:hideMark/>
          </w:tcPr>
          <w:p w14:paraId="53570CC9" w14:textId="77777777" w:rsidR="00550527" w:rsidRDefault="00550527">
            <w:pPr>
              <w:spacing w:line="256" w:lineRule="auto"/>
              <w:rPr>
                <w:sz w:val="20"/>
              </w:rPr>
            </w:pPr>
            <w:r>
              <w:rPr>
                <w:sz w:val="20"/>
              </w:rPr>
              <w:t>170bp</w:t>
            </w:r>
          </w:p>
        </w:tc>
      </w:tr>
      <w:tr w:rsidR="00550527" w14:paraId="619C556C"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02556785" w14:textId="77777777" w:rsidR="00550527" w:rsidRDefault="00550527">
            <w:pPr>
              <w:spacing w:line="256" w:lineRule="auto"/>
              <w:rPr>
                <w:rFonts w:eastAsia="Times New Roman" w:cs="Times New Roman"/>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21710A79" w14:textId="77777777" w:rsidR="00550527" w:rsidRDefault="00550527">
            <w:pPr>
              <w:spacing w:line="256" w:lineRule="auto"/>
              <w:rPr>
                <w:sz w:val="20"/>
              </w:rPr>
            </w:pPr>
            <w:r>
              <w:rPr>
                <w:sz w:val="20"/>
              </w:rPr>
              <w:t>EGFR TK exon19</w:t>
            </w:r>
          </w:p>
        </w:tc>
        <w:tc>
          <w:tcPr>
            <w:tcW w:w="4111" w:type="dxa"/>
            <w:tcBorders>
              <w:top w:val="single" w:sz="4" w:space="0" w:color="auto"/>
              <w:left w:val="single" w:sz="4" w:space="0" w:color="auto"/>
              <w:bottom w:val="single" w:sz="4" w:space="0" w:color="auto"/>
              <w:right w:val="single" w:sz="4" w:space="0" w:color="auto"/>
            </w:tcBorders>
            <w:hideMark/>
          </w:tcPr>
          <w:p w14:paraId="08AB7D6F" w14:textId="77777777" w:rsidR="00550527" w:rsidRDefault="00550527">
            <w:pPr>
              <w:spacing w:line="256" w:lineRule="auto"/>
              <w:jc w:val="both"/>
              <w:rPr>
                <w:sz w:val="20"/>
              </w:rPr>
            </w:pPr>
            <w:r>
              <w:rPr>
                <w:sz w:val="20"/>
              </w:rPr>
              <w:t>GCCAGTTAACGTCTTCCTTCTCTC</w:t>
            </w:r>
          </w:p>
          <w:p w14:paraId="35F7BBA7" w14:textId="77777777" w:rsidR="00550527" w:rsidRDefault="00550527">
            <w:pPr>
              <w:spacing w:line="256" w:lineRule="auto"/>
              <w:rPr>
                <w:sz w:val="20"/>
              </w:rPr>
            </w:pPr>
            <w:r>
              <w:rPr>
                <w:sz w:val="20"/>
              </w:rPr>
              <w:t>CCACACAGCAAAGCAGAAACTCAC</w:t>
            </w:r>
          </w:p>
        </w:tc>
        <w:tc>
          <w:tcPr>
            <w:tcW w:w="1134" w:type="dxa"/>
            <w:tcBorders>
              <w:top w:val="single" w:sz="4" w:space="0" w:color="auto"/>
              <w:left w:val="single" w:sz="4" w:space="0" w:color="auto"/>
              <w:bottom w:val="single" w:sz="4" w:space="0" w:color="auto"/>
              <w:right w:val="single" w:sz="4" w:space="0" w:color="auto"/>
            </w:tcBorders>
            <w:hideMark/>
          </w:tcPr>
          <w:p w14:paraId="7BE6D593" w14:textId="77777777" w:rsidR="00550527" w:rsidRDefault="00550527">
            <w:pPr>
              <w:spacing w:line="256" w:lineRule="auto"/>
              <w:rPr>
                <w:sz w:val="20"/>
              </w:rPr>
            </w:pPr>
            <w:r>
              <w:rPr>
                <w:sz w:val="20"/>
              </w:rPr>
              <w:t>157bp</w:t>
            </w:r>
          </w:p>
        </w:tc>
      </w:tr>
      <w:tr w:rsidR="00550527" w14:paraId="2BF46AF6"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4585F52A" w14:textId="77777777" w:rsidR="00550527" w:rsidRDefault="00550527">
            <w:pPr>
              <w:spacing w:line="256" w:lineRule="auto"/>
              <w:rPr>
                <w:rFonts w:eastAsia="Times New Roman" w:cs="Times New Roman"/>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3F1B196F" w14:textId="77777777" w:rsidR="00550527" w:rsidRDefault="00550527">
            <w:pPr>
              <w:spacing w:line="256" w:lineRule="auto"/>
              <w:rPr>
                <w:sz w:val="20"/>
              </w:rPr>
            </w:pPr>
            <w:r>
              <w:rPr>
                <w:sz w:val="20"/>
              </w:rPr>
              <w:t>EGFR TK exon20</w:t>
            </w:r>
          </w:p>
        </w:tc>
        <w:tc>
          <w:tcPr>
            <w:tcW w:w="4111" w:type="dxa"/>
            <w:tcBorders>
              <w:top w:val="single" w:sz="4" w:space="0" w:color="auto"/>
              <w:left w:val="single" w:sz="4" w:space="0" w:color="auto"/>
              <w:bottom w:val="single" w:sz="4" w:space="0" w:color="auto"/>
              <w:right w:val="single" w:sz="4" w:space="0" w:color="auto"/>
            </w:tcBorders>
            <w:hideMark/>
          </w:tcPr>
          <w:p w14:paraId="0DAB949D" w14:textId="77777777" w:rsidR="00550527" w:rsidRDefault="00550527">
            <w:pPr>
              <w:spacing w:line="256" w:lineRule="auto"/>
              <w:jc w:val="both"/>
              <w:rPr>
                <w:sz w:val="20"/>
              </w:rPr>
            </w:pPr>
            <w:r>
              <w:rPr>
                <w:sz w:val="20"/>
              </w:rPr>
              <w:t>CAGGAAGCCTACGTGATG</w:t>
            </w:r>
          </w:p>
          <w:p w14:paraId="0A7103FC" w14:textId="77777777" w:rsidR="00550527" w:rsidRDefault="00550527">
            <w:pPr>
              <w:spacing w:line="256" w:lineRule="auto"/>
              <w:rPr>
                <w:sz w:val="20"/>
              </w:rPr>
            </w:pPr>
            <w:r>
              <w:rPr>
                <w:sz w:val="20"/>
              </w:rPr>
              <w:t>TGATTACCTTTGCGATCTG</w:t>
            </w:r>
          </w:p>
        </w:tc>
        <w:tc>
          <w:tcPr>
            <w:tcW w:w="1134" w:type="dxa"/>
            <w:tcBorders>
              <w:top w:val="single" w:sz="4" w:space="0" w:color="auto"/>
              <w:left w:val="single" w:sz="4" w:space="0" w:color="auto"/>
              <w:bottom w:val="single" w:sz="4" w:space="0" w:color="auto"/>
              <w:right w:val="single" w:sz="4" w:space="0" w:color="auto"/>
            </w:tcBorders>
          </w:tcPr>
          <w:p w14:paraId="2CB28FD3" w14:textId="77777777" w:rsidR="00550527" w:rsidRDefault="00550527">
            <w:pPr>
              <w:spacing w:line="256" w:lineRule="auto"/>
              <w:jc w:val="both"/>
              <w:rPr>
                <w:sz w:val="20"/>
              </w:rPr>
            </w:pPr>
            <w:r>
              <w:rPr>
                <w:sz w:val="20"/>
              </w:rPr>
              <w:t>196bp</w:t>
            </w:r>
          </w:p>
          <w:p w14:paraId="59444ABF" w14:textId="77777777" w:rsidR="00550527" w:rsidRDefault="00550527">
            <w:pPr>
              <w:spacing w:line="256" w:lineRule="auto"/>
              <w:rPr>
                <w:sz w:val="20"/>
              </w:rPr>
            </w:pPr>
          </w:p>
        </w:tc>
      </w:tr>
      <w:tr w:rsidR="00550527" w14:paraId="14F6B159" w14:textId="77777777" w:rsidTr="00550527">
        <w:tc>
          <w:tcPr>
            <w:tcW w:w="1537" w:type="dxa"/>
            <w:vMerge/>
            <w:tcBorders>
              <w:top w:val="single" w:sz="4" w:space="0" w:color="auto"/>
              <w:left w:val="single" w:sz="4" w:space="0" w:color="auto"/>
              <w:bottom w:val="single" w:sz="4" w:space="0" w:color="auto"/>
              <w:right w:val="single" w:sz="4" w:space="0" w:color="auto"/>
            </w:tcBorders>
            <w:vAlign w:val="center"/>
            <w:hideMark/>
          </w:tcPr>
          <w:p w14:paraId="5AB83695" w14:textId="77777777" w:rsidR="00550527" w:rsidRDefault="00550527">
            <w:pPr>
              <w:spacing w:line="256" w:lineRule="auto"/>
              <w:rPr>
                <w:rFonts w:eastAsia="Times New Roman" w:cs="Times New Roman"/>
                <w:color w:val="000000"/>
                <w:sz w:val="20"/>
              </w:rPr>
            </w:pPr>
          </w:p>
        </w:tc>
        <w:tc>
          <w:tcPr>
            <w:tcW w:w="2711" w:type="dxa"/>
            <w:tcBorders>
              <w:top w:val="single" w:sz="4" w:space="0" w:color="auto"/>
              <w:left w:val="single" w:sz="4" w:space="0" w:color="auto"/>
              <w:bottom w:val="single" w:sz="4" w:space="0" w:color="auto"/>
              <w:right w:val="single" w:sz="4" w:space="0" w:color="auto"/>
            </w:tcBorders>
            <w:hideMark/>
          </w:tcPr>
          <w:p w14:paraId="6812DC73" w14:textId="77777777" w:rsidR="00550527" w:rsidRDefault="00550527">
            <w:pPr>
              <w:spacing w:line="256" w:lineRule="auto"/>
              <w:rPr>
                <w:sz w:val="20"/>
              </w:rPr>
            </w:pPr>
            <w:r>
              <w:rPr>
                <w:sz w:val="20"/>
              </w:rPr>
              <w:t>EGFR TK exon21</w:t>
            </w:r>
          </w:p>
        </w:tc>
        <w:tc>
          <w:tcPr>
            <w:tcW w:w="4111" w:type="dxa"/>
            <w:tcBorders>
              <w:top w:val="single" w:sz="4" w:space="0" w:color="auto"/>
              <w:left w:val="single" w:sz="4" w:space="0" w:color="auto"/>
              <w:bottom w:val="single" w:sz="4" w:space="0" w:color="auto"/>
              <w:right w:val="single" w:sz="4" w:space="0" w:color="auto"/>
            </w:tcBorders>
            <w:hideMark/>
          </w:tcPr>
          <w:p w14:paraId="36A01E51" w14:textId="77777777" w:rsidR="00550527" w:rsidRDefault="00550527">
            <w:pPr>
              <w:spacing w:line="256" w:lineRule="auto"/>
              <w:jc w:val="both"/>
              <w:rPr>
                <w:sz w:val="20"/>
              </w:rPr>
            </w:pPr>
            <w:r>
              <w:rPr>
                <w:sz w:val="20"/>
              </w:rPr>
              <w:t>TTCTTCCCATGATGATCTGT</w:t>
            </w:r>
          </w:p>
          <w:p w14:paraId="37B7CA8A" w14:textId="77777777" w:rsidR="00550527" w:rsidRDefault="00550527">
            <w:pPr>
              <w:spacing w:line="256" w:lineRule="auto"/>
              <w:rPr>
                <w:sz w:val="20"/>
              </w:rPr>
            </w:pPr>
            <w:r>
              <w:rPr>
                <w:sz w:val="20"/>
              </w:rPr>
              <w:t>TCCTTCTGCATGGTATTCTT</w:t>
            </w:r>
          </w:p>
        </w:tc>
        <w:tc>
          <w:tcPr>
            <w:tcW w:w="1134" w:type="dxa"/>
            <w:tcBorders>
              <w:top w:val="single" w:sz="4" w:space="0" w:color="auto"/>
              <w:left w:val="single" w:sz="4" w:space="0" w:color="auto"/>
              <w:bottom w:val="single" w:sz="4" w:space="0" w:color="auto"/>
              <w:right w:val="single" w:sz="4" w:space="0" w:color="auto"/>
            </w:tcBorders>
            <w:hideMark/>
          </w:tcPr>
          <w:p w14:paraId="20E1E40E" w14:textId="77777777" w:rsidR="00550527" w:rsidRDefault="00550527">
            <w:pPr>
              <w:spacing w:line="256" w:lineRule="auto"/>
              <w:rPr>
                <w:sz w:val="20"/>
              </w:rPr>
            </w:pPr>
            <w:r>
              <w:rPr>
                <w:sz w:val="20"/>
              </w:rPr>
              <w:t>199bp</w:t>
            </w:r>
          </w:p>
        </w:tc>
      </w:tr>
    </w:tbl>
    <w:p w14:paraId="56FE6904" w14:textId="77777777" w:rsidR="00550527" w:rsidRDefault="00550527" w:rsidP="00550527">
      <w:pPr>
        <w:jc w:val="both"/>
        <w:rPr>
          <w:rFonts w:eastAsia="Times New Roman"/>
          <w:b/>
          <w:color w:val="000000"/>
          <w:szCs w:val="20"/>
          <w:lang w:eastAsia="hu-HU"/>
        </w:rPr>
      </w:pPr>
    </w:p>
    <w:p w14:paraId="790F9571" w14:textId="77777777" w:rsidR="00550527" w:rsidRDefault="00550527" w:rsidP="00550527">
      <w:pPr>
        <w:spacing w:after="160" w:line="256" w:lineRule="auto"/>
        <w:rPr>
          <w:b/>
        </w:rPr>
      </w:pPr>
      <w:r>
        <w:rPr>
          <w:b/>
        </w:rPr>
        <w:br w:type="page"/>
      </w:r>
    </w:p>
    <w:p w14:paraId="65E50BD5" w14:textId="77777777" w:rsidR="00550527" w:rsidRDefault="00550527" w:rsidP="00550527">
      <w:pPr>
        <w:pStyle w:val="BodyText"/>
        <w:spacing w:line="360" w:lineRule="auto"/>
        <w:rPr>
          <w:b/>
          <w:color w:val="auto"/>
        </w:rPr>
      </w:pPr>
      <w:r>
        <w:rPr>
          <w:b/>
          <w:color w:val="auto"/>
        </w:rPr>
        <w:lastRenderedPageBreak/>
        <w:t>Supplementary table S2:.Genetic test results on PE/CA-PJ15 and PE/CA-PJ41 HNSCC cell lines</w:t>
      </w:r>
    </w:p>
    <w:p w14:paraId="1F03C6EB" w14:textId="77777777" w:rsidR="00550527" w:rsidRDefault="00550527" w:rsidP="00550527">
      <w:pPr>
        <w:pStyle w:val="BodyText"/>
        <w:spacing w:line="360" w:lineRule="auto"/>
        <w:rPr>
          <w:b/>
          <w:i/>
          <w:color w:val="auto"/>
        </w:rPr>
      </w:pPr>
    </w:p>
    <w:tbl>
      <w:tblPr>
        <w:tblStyle w:val="TableGrid"/>
        <w:tblW w:w="9067" w:type="dxa"/>
        <w:tblLook w:val="04A0" w:firstRow="1" w:lastRow="0" w:firstColumn="1" w:lastColumn="0" w:noHBand="0" w:noVBand="1"/>
      </w:tblPr>
      <w:tblGrid>
        <w:gridCol w:w="3539"/>
        <w:gridCol w:w="2693"/>
        <w:gridCol w:w="2835"/>
      </w:tblGrid>
      <w:tr w:rsidR="00550527" w14:paraId="47FB31A5" w14:textId="77777777" w:rsidTr="00550527">
        <w:trPr>
          <w:trHeight w:val="283"/>
        </w:trPr>
        <w:tc>
          <w:tcPr>
            <w:tcW w:w="3539" w:type="dxa"/>
            <w:tcBorders>
              <w:top w:val="single" w:sz="4" w:space="0" w:color="auto"/>
              <w:left w:val="single" w:sz="4" w:space="0" w:color="auto"/>
              <w:bottom w:val="single" w:sz="4" w:space="0" w:color="auto"/>
              <w:right w:val="single" w:sz="4" w:space="0" w:color="auto"/>
            </w:tcBorders>
            <w:vAlign w:val="center"/>
            <w:hideMark/>
          </w:tcPr>
          <w:p w14:paraId="6EF2E55B" w14:textId="77777777" w:rsidR="00550527" w:rsidRDefault="00550527">
            <w:pPr>
              <w:pStyle w:val="BodyText"/>
              <w:jc w:val="center"/>
              <w:rPr>
                <w:color w:val="auto"/>
                <w:sz w:val="20"/>
                <w:lang w:eastAsia="en-US"/>
              </w:rPr>
            </w:pPr>
            <w:r>
              <w:rPr>
                <w:color w:val="auto"/>
                <w:sz w:val="20"/>
                <w:lang w:eastAsia="en-US"/>
              </w:rPr>
              <w:t>Cell line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755D8E7" w14:textId="77777777" w:rsidR="00550527" w:rsidRDefault="00550527">
            <w:pPr>
              <w:pStyle w:val="BodyText"/>
              <w:jc w:val="center"/>
              <w:rPr>
                <w:color w:val="auto"/>
                <w:sz w:val="20"/>
                <w:lang w:eastAsia="en-US"/>
              </w:rPr>
            </w:pPr>
            <w:r>
              <w:rPr>
                <w:color w:val="auto"/>
                <w:sz w:val="20"/>
                <w:lang w:eastAsia="en-US"/>
              </w:rPr>
              <w:t>PE/CA-PJ15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6F1812" w14:textId="77777777" w:rsidR="00550527" w:rsidRDefault="00550527">
            <w:pPr>
              <w:pStyle w:val="BodyText"/>
              <w:jc w:val="center"/>
              <w:rPr>
                <w:color w:val="auto"/>
                <w:sz w:val="20"/>
                <w:lang w:eastAsia="en-US"/>
              </w:rPr>
            </w:pPr>
            <w:r>
              <w:rPr>
                <w:color w:val="auto"/>
                <w:sz w:val="20"/>
                <w:lang w:eastAsia="en-US"/>
              </w:rPr>
              <w:t>PE/CA-PJ41</w:t>
            </w:r>
          </w:p>
        </w:tc>
      </w:tr>
      <w:tr w:rsidR="00550527" w14:paraId="5887D6A4" w14:textId="77777777" w:rsidTr="00550527">
        <w:trPr>
          <w:trHeight w:val="283"/>
        </w:trPr>
        <w:tc>
          <w:tcPr>
            <w:tcW w:w="3539" w:type="dxa"/>
            <w:tcBorders>
              <w:top w:val="single" w:sz="4" w:space="0" w:color="auto"/>
              <w:left w:val="single" w:sz="4" w:space="0" w:color="auto"/>
              <w:bottom w:val="single" w:sz="4" w:space="0" w:color="auto"/>
              <w:right w:val="single" w:sz="4" w:space="0" w:color="auto"/>
            </w:tcBorders>
            <w:vAlign w:val="center"/>
            <w:hideMark/>
          </w:tcPr>
          <w:p w14:paraId="0AAC6F3F" w14:textId="77777777" w:rsidR="00550527" w:rsidRDefault="00550527">
            <w:pPr>
              <w:pStyle w:val="BodyText"/>
              <w:jc w:val="center"/>
              <w:rPr>
                <w:color w:val="auto"/>
                <w:sz w:val="20"/>
                <w:lang w:eastAsia="en-US"/>
              </w:rPr>
            </w:pPr>
            <w:r>
              <w:rPr>
                <w:color w:val="auto"/>
                <w:sz w:val="20"/>
                <w:lang w:eastAsia="en-US"/>
              </w:rPr>
              <w:t>EGFR tyrosine kinase domain screen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434715F" w14:textId="77777777" w:rsidR="00550527" w:rsidRDefault="00550527">
            <w:pPr>
              <w:pStyle w:val="BodyText"/>
              <w:jc w:val="center"/>
              <w:rPr>
                <w:color w:val="auto"/>
                <w:sz w:val="20"/>
                <w:lang w:eastAsia="en-US"/>
              </w:rPr>
            </w:pPr>
            <w:r>
              <w:rPr>
                <w:color w:val="auto"/>
                <w:sz w:val="20"/>
                <w:lang w:eastAsia="en-US"/>
              </w:rPr>
              <w:t>no alterations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EE06CE" w14:textId="77777777" w:rsidR="00550527" w:rsidRDefault="00550527">
            <w:pPr>
              <w:pStyle w:val="BodyText"/>
              <w:jc w:val="center"/>
              <w:rPr>
                <w:color w:val="auto"/>
                <w:sz w:val="20"/>
                <w:lang w:eastAsia="en-US"/>
              </w:rPr>
            </w:pPr>
            <w:r>
              <w:rPr>
                <w:color w:val="auto"/>
                <w:sz w:val="20"/>
                <w:lang w:eastAsia="en-US"/>
              </w:rPr>
              <w:t>no alterations</w:t>
            </w:r>
          </w:p>
        </w:tc>
      </w:tr>
      <w:tr w:rsidR="00550527" w14:paraId="6EC613EA" w14:textId="77777777" w:rsidTr="00550527">
        <w:trPr>
          <w:trHeight w:val="283"/>
        </w:trPr>
        <w:tc>
          <w:tcPr>
            <w:tcW w:w="3539" w:type="dxa"/>
            <w:tcBorders>
              <w:top w:val="single" w:sz="4" w:space="0" w:color="auto"/>
              <w:left w:val="single" w:sz="4" w:space="0" w:color="auto"/>
              <w:bottom w:val="single" w:sz="4" w:space="0" w:color="auto"/>
              <w:right w:val="single" w:sz="4" w:space="0" w:color="auto"/>
            </w:tcBorders>
            <w:vAlign w:val="center"/>
            <w:hideMark/>
          </w:tcPr>
          <w:p w14:paraId="6E422831" w14:textId="77777777" w:rsidR="00550527" w:rsidRDefault="00550527">
            <w:pPr>
              <w:pStyle w:val="BodyText"/>
              <w:jc w:val="center"/>
              <w:rPr>
                <w:color w:val="auto"/>
                <w:sz w:val="20"/>
                <w:lang w:eastAsia="en-US"/>
              </w:rPr>
            </w:pPr>
            <w:r>
              <w:rPr>
                <w:color w:val="auto"/>
                <w:sz w:val="20"/>
                <w:lang w:eastAsia="en-US"/>
              </w:rPr>
              <w:t>HPV 16, 18, 31, 33, 51 test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0CDF1A" w14:textId="77777777" w:rsidR="00550527" w:rsidRDefault="00550527">
            <w:pPr>
              <w:pStyle w:val="BodyText"/>
              <w:jc w:val="center"/>
              <w:rPr>
                <w:color w:val="auto"/>
                <w:sz w:val="20"/>
                <w:lang w:eastAsia="en-US"/>
              </w:rPr>
            </w:pPr>
            <w:r>
              <w:rPr>
                <w:color w:val="auto"/>
                <w:sz w:val="20"/>
                <w:lang w:eastAsia="en-US"/>
              </w:rPr>
              <w:t>negative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D7D9AA" w14:textId="77777777" w:rsidR="00550527" w:rsidRDefault="00550527">
            <w:pPr>
              <w:pStyle w:val="BodyText"/>
              <w:jc w:val="center"/>
              <w:rPr>
                <w:color w:val="auto"/>
                <w:sz w:val="20"/>
                <w:lang w:eastAsia="en-US"/>
              </w:rPr>
            </w:pPr>
            <w:r>
              <w:rPr>
                <w:color w:val="auto"/>
                <w:sz w:val="20"/>
                <w:lang w:eastAsia="en-US"/>
              </w:rPr>
              <w:t>negative</w:t>
            </w:r>
          </w:p>
        </w:tc>
      </w:tr>
      <w:tr w:rsidR="00550527" w14:paraId="3935A4B2" w14:textId="77777777" w:rsidTr="00550527">
        <w:trPr>
          <w:trHeight w:val="283"/>
        </w:trPr>
        <w:tc>
          <w:tcPr>
            <w:tcW w:w="3539" w:type="dxa"/>
            <w:tcBorders>
              <w:top w:val="single" w:sz="4" w:space="0" w:color="auto"/>
              <w:left w:val="single" w:sz="4" w:space="0" w:color="auto"/>
              <w:bottom w:val="single" w:sz="4" w:space="0" w:color="auto"/>
              <w:right w:val="single" w:sz="4" w:space="0" w:color="auto"/>
            </w:tcBorders>
            <w:vAlign w:val="center"/>
            <w:hideMark/>
          </w:tcPr>
          <w:p w14:paraId="3FF6EAF3" w14:textId="77777777" w:rsidR="00550527" w:rsidRDefault="00550527">
            <w:pPr>
              <w:pStyle w:val="BodyText"/>
              <w:jc w:val="center"/>
              <w:rPr>
                <w:color w:val="auto"/>
                <w:sz w:val="20"/>
                <w:lang w:eastAsia="en-US"/>
              </w:rPr>
            </w:pPr>
            <w:r>
              <w:rPr>
                <w:color w:val="auto"/>
                <w:sz w:val="20"/>
                <w:lang w:eastAsia="en-US"/>
              </w:rPr>
              <w:t>KRAS genotype test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EA03853" w14:textId="77777777" w:rsidR="00550527" w:rsidRDefault="00550527">
            <w:pPr>
              <w:pStyle w:val="BodyText"/>
              <w:jc w:val="center"/>
              <w:rPr>
                <w:color w:val="auto"/>
                <w:sz w:val="20"/>
                <w:lang w:eastAsia="en-US"/>
              </w:rPr>
            </w:pPr>
            <w:r>
              <w:rPr>
                <w:color w:val="auto"/>
                <w:sz w:val="20"/>
                <w:lang w:eastAsia="en-US"/>
              </w:rPr>
              <w:t>wild type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9DD65D" w14:textId="77777777" w:rsidR="00550527" w:rsidRDefault="00550527">
            <w:pPr>
              <w:pStyle w:val="BodyText"/>
              <w:jc w:val="center"/>
              <w:rPr>
                <w:color w:val="auto"/>
                <w:sz w:val="20"/>
                <w:lang w:eastAsia="en-US"/>
              </w:rPr>
            </w:pPr>
            <w:r>
              <w:rPr>
                <w:color w:val="auto"/>
                <w:sz w:val="20"/>
                <w:lang w:eastAsia="en-US"/>
              </w:rPr>
              <w:t>wild type</w:t>
            </w:r>
          </w:p>
        </w:tc>
      </w:tr>
      <w:tr w:rsidR="00550527" w14:paraId="2E5FD37F" w14:textId="77777777" w:rsidTr="00550527">
        <w:trPr>
          <w:trHeight w:val="283"/>
        </w:trPr>
        <w:tc>
          <w:tcPr>
            <w:tcW w:w="3539" w:type="dxa"/>
            <w:tcBorders>
              <w:top w:val="single" w:sz="4" w:space="0" w:color="auto"/>
              <w:left w:val="single" w:sz="4" w:space="0" w:color="auto"/>
              <w:bottom w:val="single" w:sz="4" w:space="0" w:color="auto"/>
              <w:right w:val="single" w:sz="4" w:space="0" w:color="auto"/>
            </w:tcBorders>
            <w:vAlign w:val="center"/>
            <w:hideMark/>
          </w:tcPr>
          <w:p w14:paraId="59FC249E" w14:textId="77777777" w:rsidR="00550527" w:rsidRDefault="00550527">
            <w:pPr>
              <w:pStyle w:val="BodyText"/>
              <w:jc w:val="center"/>
              <w:rPr>
                <w:color w:val="auto"/>
                <w:sz w:val="20"/>
                <w:lang w:eastAsia="en-US"/>
              </w:rPr>
            </w:pPr>
            <w:r>
              <w:rPr>
                <w:color w:val="auto"/>
                <w:sz w:val="20"/>
                <w:lang w:eastAsia="en-US"/>
              </w:rPr>
              <w:t>NRAS genotype test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15A714" w14:textId="77777777" w:rsidR="00550527" w:rsidRDefault="00550527">
            <w:pPr>
              <w:pStyle w:val="BodyText"/>
              <w:jc w:val="center"/>
              <w:rPr>
                <w:color w:val="auto"/>
                <w:sz w:val="20"/>
                <w:lang w:eastAsia="en-US"/>
              </w:rPr>
            </w:pPr>
            <w:r>
              <w:rPr>
                <w:color w:val="auto"/>
                <w:sz w:val="20"/>
                <w:lang w:eastAsia="en-US"/>
              </w:rPr>
              <w:t>wild type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B77067" w14:textId="77777777" w:rsidR="00550527" w:rsidRDefault="00550527">
            <w:pPr>
              <w:pStyle w:val="BodyText"/>
              <w:jc w:val="center"/>
              <w:rPr>
                <w:color w:val="auto"/>
                <w:sz w:val="20"/>
                <w:lang w:eastAsia="en-US"/>
              </w:rPr>
            </w:pPr>
            <w:r>
              <w:rPr>
                <w:color w:val="auto"/>
                <w:sz w:val="20"/>
                <w:lang w:eastAsia="en-US"/>
              </w:rPr>
              <w:t>wild type</w:t>
            </w:r>
          </w:p>
        </w:tc>
      </w:tr>
      <w:tr w:rsidR="00550527" w14:paraId="0690599C" w14:textId="77777777" w:rsidTr="00550527">
        <w:trPr>
          <w:trHeight w:val="283"/>
        </w:trPr>
        <w:tc>
          <w:tcPr>
            <w:tcW w:w="3539" w:type="dxa"/>
            <w:tcBorders>
              <w:top w:val="single" w:sz="4" w:space="0" w:color="auto"/>
              <w:left w:val="single" w:sz="4" w:space="0" w:color="auto"/>
              <w:bottom w:val="single" w:sz="4" w:space="0" w:color="auto"/>
              <w:right w:val="single" w:sz="4" w:space="0" w:color="auto"/>
            </w:tcBorders>
            <w:vAlign w:val="center"/>
            <w:hideMark/>
          </w:tcPr>
          <w:p w14:paraId="2D416BD5" w14:textId="77777777" w:rsidR="00550527" w:rsidRDefault="00550527">
            <w:pPr>
              <w:pStyle w:val="BodyText"/>
              <w:jc w:val="center"/>
              <w:rPr>
                <w:color w:val="auto"/>
                <w:sz w:val="20"/>
                <w:lang w:eastAsia="en-US"/>
              </w:rPr>
            </w:pPr>
            <w:r>
              <w:rPr>
                <w:color w:val="auto"/>
                <w:sz w:val="20"/>
                <w:lang w:eastAsia="en-US"/>
              </w:rPr>
              <w:t>EGFR gene amplification test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1D282CD" w14:textId="77777777" w:rsidR="00550527" w:rsidRDefault="00550527">
            <w:pPr>
              <w:pStyle w:val="BodyText"/>
              <w:jc w:val="center"/>
              <w:rPr>
                <w:color w:val="auto"/>
                <w:sz w:val="20"/>
                <w:lang w:eastAsia="en-US"/>
              </w:rPr>
            </w:pPr>
            <w:r>
              <w:rPr>
                <w:color w:val="auto"/>
                <w:sz w:val="20"/>
                <w:lang w:eastAsia="en-US"/>
              </w:rPr>
              <w:t>no amplification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F0C3B2" w14:textId="77777777" w:rsidR="00550527" w:rsidRDefault="00550527">
            <w:pPr>
              <w:pStyle w:val="BodyText"/>
              <w:jc w:val="center"/>
              <w:rPr>
                <w:color w:val="auto"/>
                <w:sz w:val="20"/>
                <w:lang w:eastAsia="en-US"/>
              </w:rPr>
            </w:pPr>
            <w:r>
              <w:rPr>
                <w:color w:val="auto"/>
                <w:sz w:val="20"/>
                <w:lang w:eastAsia="en-US"/>
              </w:rPr>
              <w:t>no amplification</w:t>
            </w:r>
          </w:p>
        </w:tc>
      </w:tr>
      <w:tr w:rsidR="00550527" w14:paraId="41C6ACC6" w14:textId="77777777" w:rsidTr="00550527">
        <w:trPr>
          <w:trHeight w:val="283"/>
        </w:trPr>
        <w:tc>
          <w:tcPr>
            <w:tcW w:w="3539" w:type="dxa"/>
            <w:tcBorders>
              <w:top w:val="single" w:sz="4" w:space="0" w:color="auto"/>
              <w:left w:val="single" w:sz="4" w:space="0" w:color="auto"/>
              <w:bottom w:val="single" w:sz="4" w:space="0" w:color="auto"/>
              <w:right w:val="single" w:sz="4" w:space="0" w:color="auto"/>
            </w:tcBorders>
            <w:vAlign w:val="center"/>
            <w:hideMark/>
          </w:tcPr>
          <w:p w14:paraId="6ACA7642" w14:textId="77777777" w:rsidR="00550527" w:rsidRDefault="00550527">
            <w:pPr>
              <w:pStyle w:val="BodyText"/>
              <w:jc w:val="center"/>
              <w:rPr>
                <w:color w:val="auto"/>
                <w:sz w:val="20"/>
                <w:lang w:eastAsia="en-US"/>
              </w:rPr>
            </w:pPr>
            <w:r>
              <w:rPr>
                <w:color w:val="auto"/>
                <w:sz w:val="20"/>
                <w:lang w:eastAsia="en-US"/>
              </w:rPr>
              <w:t>EGFR N158N synonymous SNP</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427B1D7" w14:textId="77777777" w:rsidR="00550527" w:rsidRDefault="00550527">
            <w:pPr>
              <w:pStyle w:val="BodyText"/>
              <w:jc w:val="center"/>
              <w:rPr>
                <w:b/>
                <w:color w:val="auto"/>
                <w:sz w:val="20"/>
                <w:lang w:eastAsia="en-US"/>
              </w:rPr>
            </w:pPr>
            <w:r>
              <w:rPr>
                <w:b/>
                <w:color w:val="auto"/>
                <w:sz w:val="20"/>
                <w:lang w:eastAsia="en-US"/>
              </w:rPr>
              <w:t>homozygous mutant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DE8CA7" w14:textId="77777777" w:rsidR="00550527" w:rsidRDefault="00550527">
            <w:pPr>
              <w:pStyle w:val="BodyText"/>
              <w:jc w:val="center"/>
              <w:rPr>
                <w:b/>
                <w:color w:val="auto"/>
                <w:sz w:val="20"/>
                <w:lang w:eastAsia="en-US"/>
              </w:rPr>
            </w:pPr>
            <w:r>
              <w:rPr>
                <w:b/>
                <w:color w:val="auto"/>
                <w:sz w:val="20"/>
                <w:lang w:eastAsia="en-US"/>
              </w:rPr>
              <w:t>heterozygous mutant</w:t>
            </w:r>
          </w:p>
        </w:tc>
      </w:tr>
      <w:tr w:rsidR="00550527" w14:paraId="5ABEB749" w14:textId="77777777" w:rsidTr="00550527">
        <w:trPr>
          <w:trHeight w:val="283"/>
        </w:trPr>
        <w:tc>
          <w:tcPr>
            <w:tcW w:w="3539" w:type="dxa"/>
            <w:tcBorders>
              <w:top w:val="single" w:sz="4" w:space="0" w:color="auto"/>
              <w:left w:val="single" w:sz="4" w:space="0" w:color="auto"/>
              <w:bottom w:val="single" w:sz="4" w:space="0" w:color="auto"/>
              <w:right w:val="single" w:sz="4" w:space="0" w:color="auto"/>
            </w:tcBorders>
            <w:vAlign w:val="center"/>
            <w:hideMark/>
          </w:tcPr>
          <w:p w14:paraId="7DDEF40E" w14:textId="77777777" w:rsidR="00550527" w:rsidRDefault="00550527">
            <w:pPr>
              <w:pStyle w:val="BodyText"/>
              <w:jc w:val="center"/>
              <w:rPr>
                <w:color w:val="auto"/>
                <w:sz w:val="20"/>
                <w:lang w:eastAsia="en-US"/>
              </w:rPr>
            </w:pPr>
            <w:r>
              <w:rPr>
                <w:color w:val="auto"/>
                <w:sz w:val="20"/>
                <w:lang w:eastAsia="en-US"/>
              </w:rPr>
              <w:t>EGFR T629T synonymous SNP</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45ABE7" w14:textId="77777777" w:rsidR="00550527" w:rsidRDefault="00550527">
            <w:pPr>
              <w:pStyle w:val="BodyText"/>
              <w:jc w:val="center"/>
              <w:rPr>
                <w:b/>
                <w:color w:val="auto"/>
                <w:sz w:val="20"/>
                <w:lang w:eastAsia="en-US"/>
              </w:rPr>
            </w:pPr>
            <w:r>
              <w:rPr>
                <w:b/>
                <w:color w:val="auto"/>
                <w:sz w:val="20"/>
                <w:lang w:eastAsia="en-US"/>
              </w:rPr>
              <w:t>heterozygous mutant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E0AFA3" w14:textId="77777777" w:rsidR="00550527" w:rsidRDefault="00550527">
            <w:pPr>
              <w:pStyle w:val="BodyText"/>
              <w:jc w:val="center"/>
              <w:rPr>
                <w:color w:val="auto"/>
                <w:sz w:val="20"/>
                <w:lang w:eastAsia="en-US"/>
              </w:rPr>
            </w:pPr>
            <w:r>
              <w:rPr>
                <w:color w:val="auto"/>
                <w:sz w:val="20"/>
                <w:lang w:eastAsia="en-US"/>
              </w:rPr>
              <w:t>wild type</w:t>
            </w:r>
          </w:p>
        </w:tc>
      </w:tr>
      <w:tr w:rsidR="00550527" w14:paraId="15199AEB" w14:textId="77777777" w:rsidTr="00550527">
        <w:trPr>
          <w:trHeight w:val="283"/>
        </w:trPr>
        <w:tc>
          <w:tcPr>
            <w:tcW w:w="3539" w:type="dxa"/>
            <w:tcBorders>
              <w:top w:val="single" w:sz="4" w:space="0" w:color="auto"/>
              <w:left w:val="single" w:sz="4" w:space="0" w:color="auto"/>
              <w:bottom w:val="single" w:sz="4" w:space="0" w:color="auto"/>
              <w:right w:val="single" w:sz="4" w:space="0" w:color="auto"/>
            </w:tcBorders>
            <w:vAlign w:val="center"/>
            <w:hideMark/>
          </w:tcPr>
          <w:p w14:paraId="618A58C3" w14:textId="77777777" w:rsidR="00550527" w:rsidRDefault="00550527">
            <w:pPr>
              <w:pStyle w:val="BodyText"/>
              <w:jc w:val="center"/>
              <w:rPr>
                <w:color w:val="auto"/>
                <w:sz w:val="20"/>
                <w:lang w:eastAsia="en-US"/>
              </w:rPr>
            </w:pPr>
            <w:r>
              <w:rPr>
                <w:color w:val="auto"/>
                <w:sz w:val="20"/>
                <w:lang w:eastAsia="en-US"/>
              </w:rPr>
              <w:t>EGFR R521K missense SNP</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37C2A9A" w14:textId="77777777" w:rsidR="00550527" w:rsidRDefault="00550527">
            <w:pPr>
              <w:pStyle w:val="BodyText"/>
              <w:jc w:val="center"/>
              <w:rPr>
                <w:b/>
                <w:color w:val="auto"/>
                <w:sz w:val="20"/>
                <w:lang w:eastAsia="en-US"/>
              </w:rPr>
            </w:pPr>
            <w:r>
              <w:rPr>
                <w:b/>
                <w:color w:val="auto"/>
                <w:sz w:val="20"/>
                <w:lang w:eastAsia="en-US"/>
              </w:rPr>
              <w:t>heterozygous mutant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7B0FCB" w14:textId="77777777" w:rsidR="00550527" w:rsidRDefault="00550527">
            <w:pPr>
              <w:pStyle w:val="BodyText"/>
              <w:jc w:val="center"/>
              <w:rPr>
                <w:color w:val="auto"/>
                <w:sz w:val="20"/>
                <w:lang w:eastAsia="en-US"/>
              </w:rPr>
            </w:pPr>
            <w:r>
              <w:rPr>
                <w:color w:val="auto"/>
                <w:sz w:val="20"/>
                <w:lang w:eastAsia="en-US"/>
              </w:rPr>
              <w:t>wild type</w:t>
            </w:r>
          </w:p>
        </w:tc>
      </w:tr>
    </w:tbl>
    <w:p w14:paraId="1258D761" w14:textId="77777777" w:rsidR="00550527" w:rsidRDefault="00550527" w:rsidP="00550527">
      <w:pPr>
        <w:rPr>
          <w:rFonts w:eastAsia="Times New Roman"/>
          <w:color w:val="000000"/>
          <w:szCs w:val="20"/>
          <w:lang w:eastAsia="hu-HU"/>
        </w:rPr>
      </w:pPr>
    </w:p>
    <w:p w14:paraId="754B6BF1" w14:textId="77777777" w:rsidR="00550527" w:rsidRDefault="00550527" w:rsidP="00550527">
      <w:pPr>
        <w:spacing w:line="360" w:lineRule="auto"/>
        <w:jc w:val="both"/>
      </w:pPr>
      <w:r>
        <w:t>Both cell lines were found to be negative for HPV infection, KRAS, NRAS, or EGFR-TKD mutations. PE/CA-PJ15 harbors two mutant alleles of EGFR N158N synonymous, while is heterozygous at EGFR T629T synonymous and EGFR R521K missense mutation position. PE/CA-PJ41 cells were found to be heterozygous at EGFR N158N position, and homozygous wild type at both EGFR T629T and EGFR R521K. No EGFR gene amplification was measured in either of the two cell lines.</w:t>
      </w:r>
    </w:p>
    <w:p w14:paraId="33DE3510" w14:textId="544EF826" w:rsidR="0088513A" w:rsidRPr="00550527" w:rsidRDefault="0088513A" w:rsidP="00550527">
      <w:pPr>
        <w:spacing w:after="160" w:line="256" w:lineRule="auto"/>
      </w:pPr>
    </w:p>
    <w:sectPr w:rsidR="0088513A" w:rsidRPr="00550527" w:rsidSect="00E76E49">
      <w:headerReference w:type="even" r:id="rId10"/>
      <w:headerReference w:type="default" r:id="rId11"/>
      <w:footerReference w:type="even" r:id="rId12"/>
      <w:footerReference w:type="default" r:id="rId13"/>
      <w:headerReference w:type="first" r:id="rId14"/>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2C4D8" w14:textId="77777777" w:rsidR="00C878A4" w:rsidRDefault="00C878A4" w:rsidP="00117666">
      <w:pPr>
        <w:spacing w:after="0"/>
      </w:pPr>
      <w:r>
        <w:separator/>
      </w:r>
    </w:p>
  </w:endnote>
  <w:endnote w:type="continuationSeparator" w:id="0">
    <w:p w14:paraId="34934AF8" w14:textId="77777777" w:rsidR="00C878A4" w:rsidRDefault="00C878A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3D87" w14:textId="77777777" w:rsidR="009B3B59" w:rsidRPr="00577C4C" w:rsidRDefault="009B3B59">
    <w:pPr>
      <w:pStyle w:val="Footer"/>
      <w:rPr>
        <w:color w:val="C00000"/>
        <w:szCs w:val="24"/>
      </w:rPr>
    </w:pPr>
    <w:r w:rsidRPr="00577C4C">
      <w:rPr>
        <w:noProof/>
        <w:color w:val="C00000"/>
        <w:szCs w:val="24"/>
        <w:lang w:val="en-GB" w:eastAsia="en-GB"/>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9B3B59" w:rsidRPr="00E9561B" w:rsidRDefault="009B3B59">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7777777" w:rsidR="009B3B59" w:rsidRPr="00E9561B" w:rsidRDefault="009B3B59">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20D31D76" w:rsidR="009B3B59" w:rsidRPr="00577C4C" w:rsidRDefault="009B3B59">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A5828" w:rsidRPr="00FA5828">
                            <w:rPr>
                              <w:noProof/>
                              <w:color w:val="000000" w:themeColor="text1"/>
                              <w:sz w:val="22"/>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20D31D76" w:rsidR="009B3B59" w:rsidRPr="00577C4C" w:rsidRDefault="009B3B59">
                    <w:pPr>
                      <w:pStyle w:val="llb"/>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A5828" w:rsidRPr="00FA5828">
                      <w:rPr>
                        <w:noProof/>
                        <w:color w:val="000000" w:themeColor="text1"/>
                        <w:sz w:val="22"/>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BFF2" w14:textId="77777777" w:rsidR="009B3B59" w:rsidRPr="00577C4C" w:rsidRDefault="009B3B59">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1D7AC242" w:rsidR="009B3B59" w:rsidRPr="00577C4C" w:rsidRDefault="009B3B59">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A5828" w:rsidRPr="00FA5828">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1D7AC242" w:rsidR="009B3B59" w:rsidRPr="00577C4C" w:rsidRDefault="009B3B59">
                    <w:pPr>
                      <w:pStyle w:val="llb"/>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A5828" w:rsidRPr="00FA5828">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F3F65" w14:textId="77777777" w:rsidR="00C878A4" w:rsidRDefault="00C878A4" w:rsidP="00117666">
      <w:pPr>
        <w:spacing w:after="0"/>
      </w:pPr>
      <w:r>
        <w:separator/>
      </w:r>
    </w:p>
  </w:footnote>
  <w:footnote w:type="continuationSeparator" w:id="0">
    <w:p w14:paraId="3B828C41" w14:textId="77777777" w:rsidR="00C878A4" w:rsidRDefault="00C878A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3A34" w14:textId="77777777" w:rsidR="009B3B59" w:rsidRPr="007E3148" w:rsidRDefault="009B3B59" w:rsidP="00A53000">
    <w:pPr>
      <w:pStyle w:val="Header"/>
    </w:pPr>
    <w:r w:rsidRPr="007E3148">
      <w:ptab w:relativeTo="margin" w:alignment="center" w:leader="none"/>
    </w:r>
    <w:r w:rsidRPr="007E3148">
      <w:ptab w:relativeTo="margin" w:alignment="right" w:leader="none"/>
    </w:r>
    <w:r w:rsidRPr="007E3148">
      <w:t>Running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A4BC" w14:textId="77777777" w:rsidR="009B3B59" w:rsidRPr="00A53000" w:rsidRDefault="009B3B59" w:rsidP="00A53000">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27F1" w14:textId="77777777" w:rsidR="009B3B59" w:rsidRDefault="009B3B59" w:rsidP="00A53000">
    <w:pPr>
      <w:pStyle w:val="Header"/>
    </w:pPr>
    <w:r w:rsidRPr="005A1D84">
      <w:rPr>
        <w:noProof/>
        <w:color w:val="A6A6A6" w:themeColor="background1" w:themeShade="A6"/>
        <w:lang w:val="en-GB" w:eastAsia="en-GB"/>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71F63"/>
    <w:multiLevelType w:val="multilevel"/>
    <w:tmpl w:val="C48C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4D5043"/>
    <w:multiLevelType w:val="hybridMultilevel"/>
    <w:tmpl w:val="E65293F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9642B8"/>
    <w:multiLevelType w:val="hybridMultilevel"/>
    <w:tmpl w:val="A19C7ABC"/>
    <w:lvl w:ilvl="0" w:tplc="21B0DAD6">
      <w:start w:val="1"/>
      <w:numFmt w:val="decimal"/>
      <w:lvlText w:val="%1."/>
      <w:lvlJc w:val="left"/>
      <w:pPr>
        <w:tabs>
          <w:tab w:val="num" w:pos="720"/>
        </w:tabs>
        <w:ind w:left="720" w:hanging="360"/>
      </w:pPr>
      <w:rPr>
        <w:rFonts w:ascii="[]" w:hAnsi="[]"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302A7CAC"/>
    <w:multiLevelType w:val="multilevel"/>
    <w:tmpl w:val="C6A8CCEA"/>
    <w:numStyleLink w:val="Headings"/>
  </w:abstractNum>
  <w:abstractNum w:abstractNumId="9" w15:restartNumberingAfterBreak="0">
    <w:nsid w:val="307C3EB0"/>
    <w:multiLevelType w:val="multilevel"/>
    <w:tmpl w:val="734CC9A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865C89"/>
    <w:multiLevelType w:val="hybridMultilevel"/>
    <w:tmpl w:val="346677A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C77194"/>
    <w:multiLevelType w:val="hybridMultilevel"/>
    <w:tmpl w:val="F41211C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7381FE7"/>
    <w:multiLevelType w:val="multilevel"/>
    <w:tmpl w:val="39B6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C6F29"/>
    <w:multiLevelType w:val="multilevel"/>
    <w:tmpl w:val="C6A8CCEA"/>
    <w:numStyleLink w:val="Headings"/>
  </w:abstractNum>
  <w:abstractNum w:abstractNumId="24"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9"/>
  </w:num>
  <w:num w:numId="3">
    <w:abstractNumId w:val="1"/>
  </w:num>
  <w:num w:numId="4">
    <w:abstractNumId w:val="2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10"/>
  </w:num>
  <w:num w:numId="9">
    <w:abstractNumId w:val="14"/>
  </w:num>
  <w:num w:numId="10">
    <w:abstractNumId w:val="11"/>
  </w:num>
  <w:num w:numId="11">
    <w:abstractNumId w:val="3"/>
  </w:num>
  <w:num w:numId="12">
    <w:abstractNumId w:val="24"/>
  </w:num>
  <w:num w:numId="13">
    <w:abstractNumId w:val="18"/>
  </w:num>
  <w:num w:numId="14">
    <w:abstractNumId w:val="6"/>
  </w:num>
  <w:num w:numId="15">
    <w:abstractNumId w:val="16"/>
  </w:num>
  <w:num w:numId="16">
    <w:abstractNumId w:val="20"/>
  </w:num>
  <w:num w:numId="17">
    <w:abstractNumId w:val="5"/>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num>
  <w:num w:numId="21">
    <w:abstractNumId w:val="5"/>
  </w:num>
  <w:num w:numId="22">
    <w:abstractNumId w:val="5"/>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4"/>
  </w:num>
  <w:num w:numId="24">
    <w:abstractNumId w:val="7"/>
  </w:num>
  <w:num w:numId="25">
    <w:abstractNumId w:val="17"/>
  </w:num>
  <w:num w:numId="26">
    <w:abstractNumId w:val="21"/>
  </w:num>
  <w:num w:numId="27">
    <w:abstractNumId w:val="9"/>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21"/>
    <w:rsid w:val="00034304"/>
    <w:rsid w:val="00035434"/>
    <w:rsid w:val="00045678"/>
    <w:rsid w:val="000458E4"/>
    <w:rsid w:val="00060CD1"/>
    <w:rsid w:val="00063D84"/>
    <w:rsid w:val="0006636D"/>
    <w:rsid w:val="00077D53"/>
    <w:rsid w:val="00081394"/>
    <w:rsid w:val="000B34BD"/>
    <w:rsid w:val="000C7E2A"/>
    <w:rsid w:val="000F4CFB"/>
    <w:rsid w:val="00117666"/>
    <w:rsid w:val="001223A7"/>
    <w:rsid w:val="00122FE2"/>
    <w:rsid w:val="00134256"/>
    <w:rsid w:val="00147395"/>
    <w:rsid w:val="001552C9"/>
    <w:rsid w:val="00177D84"/>
    <w:rsid w:val="001964EF"/>
    <w:rsid w:val="001B1A2C"/>
    <w:rsid w:val="001D5C23"/>
    <w:rsid w:val="001F4C07"/>
    <w:rsid w:val="00220AEA"/>
    <w:rsid w:val="00226954"/>
    <w:rsid w:val="002629A3"/>
    <w:rsid w:val="00265660"/>
    <w:rsid w:val="00267D18"/>
    <w:rsid w:val="002868E2"/>
    <w:rsid w:val="002869C3"/>
    <w:rsid w:val="002936E4"/>
    <w:rsid w:val="00296B88"/>
    <w:rsid w:val="002C74CA"/>
    <w:rsid w:val="002F744D"/>
    <w:rsid w:val="00303DE6"/>
    <w:rsid w:val="00310124"/>
    <w:rsid w:val="003544FB"/>
    <w:rsid w:val="00365D63"/>
    <w:rsid w:val="0036793B"/>
    <w:rsid w:val="00372682"/>
    <w:rsid w:val="00376CC5"/>
    <w:rsid w:val="0039693B"/>
    <w:rsid w:val="003D2F2D"/>
    <w:rsid w:val="00401590"/>
    <w:rsid w:val="00422C94"/>
    <w:rsid w:val="00463E3D"/>
    <w:rsid w:val="004645AE"/>
    <w:rsid w:val="004D3E33"/>
    <w:rsid w:val="005250F2"/>
    <w:rsid w:val="00550527"/>
    <w:rsid w:val="005A1D84"/>
    <w:rsid w:val="005A70EA"/>
    <w:rsid w:val="005C3963"/>
    <w:rsid w:val="005D1840"/>
    <w:rsid w:val="005D35E4"/>
    <w:rsid w:val="005D7910"/>
    <w:rsid w:val="0062154F"/>
    <w:rsid w:val="00631A8C"/>
    <w:rsid w:val="00651CA2"/>
    <w:rsid w:val="00653D60"/>
    <w:rsid w:val="00660D05"/>
    <w:rsid w:val="00671D9A"/>
    <w:rsid w:val="00673952"/>
    <w:rsid w:val="00681821"/>
    <w:rsid w:val="00686C9D"/>
    <w:rsid w:val="006B2D5B"/>
    <w:rsid w:val="006B7D14"/>
    <w:rsid w:val="006D5B93"/>
    <w:rsid w:val="00713F22"/>
    <w:rsid w:val="00725A7D"/>
    <w:rsid w:val="0073085C"/>
    <w:rsid w:val="00733784"/>
    <w:rsid w:val="00746505"/>
    <w:rsid w:val="00790BB3"/>
    <w:rsid w:val="00792043"/>
    <w:rsid w:val="00797EDD"/>
    <w:rsid w:val="007B0322"/>
    <w:rsid w:val="007C0E3F"/>
    <w:rsid w:val="007C206C"/>
    <w:rsid w:val="007C5729"/>
    <w:rsid w:val="008111E4"/>
    <w:rsid w:val="0081301C"/>
    <w:rsid w:val="00817DD6"/>
    <w:rsid w:val="008629A9"/>
    <w:rsid w:val="0088513A"/>
    <w:rsid w:val="00893C19"/>
    <w:rsid w:val="008D6C8D"/>
    <w:rsid w:val="008E2B54"/>
    <w:rsid w:val="008E4404"/>
    <w:rsid w:val="008E58C7"/>
    <w:rsid w:val="008F5021"/>
    <w:rsid w:val="00943573"/>
    <w:rsid w:val="00971B61"/>
    <w:rsid w:val="009722D3"/>
    <w:rsid w:val="00980C31"/>
    <w:rsid w:val="009955FF"/>
    <w:rsid w:val="009B3B59"/>
    <w:rsid w:val="009D259D"/>
    <w:rsid w:val="009D7CEA"/>
    <w:rsid w:val="00A50D9D"/>
    <w:rsid w:val="00A53000"/>
    <w:rsid w:val="00A545C6"/>
    <w:rsid w:val="00A6520D"/>
    <w:rsid w:val="00A652D0"/>
    <w:rsid w:val="00A75F87"/>
    <w:rsid w:val="00A95D8B"/>
    <w:rsid w:val="00AC0270"/>
    <w:rsid w:val="00AC3EA3"/>
    <w:rsid w:val="00AC792D"/>
    <w:rsid w:val="00B657B8"/>
    <w:rsid w:val="00B84920"/>
    <w:rsid w:val="00B8556A"/>
    <w:rsid w:val="00C012A3"/>
    <w:rsid w:val="00C16F19"/>
    <w:rsid w:val="00C52A7B"/>
    <w:rsid w:val="00C6324C"/>
    <w:rsid w:val="00C679AA"/>
    <w:rsid w:val="00C724CF"/>
    <w:rsid w:val="00C75972"/>
    <w:rsid w:val="00C82792"/>
    <w:rsid w:val="00C878A4"/>
    <w:rsid w:val="00C948FD"/>
    <w:rsid w:val="00CB43D5"/>
    <w:rsid w:val="00CB57A5"/>
    <w:rsid w:val="00CC76F9"/>
    <w:rsid w:val="00CD066B"/>
    <w:rsid w:val="00CD46E2"/>
    <w:rsid w:val="00D00D0B"/>
    <w:rsid w:val="00D04B69"/>
    <w:rsid w:val="00D537FA"/>
    <w:rsid w:val="00D5547D"/>
    <w:rsid w:val="00D80D99"/>
    <w:rsid w:val="00D9503C"/>
    <w:rsid w:val="00DD73EF"/>
    <w:rsid w:val="00DE23E8"/>
    <w:rsid w:val="00E0128B"/>
    <w:rsid w:val="00E64E17"/>
    <w:rsid w:val="00E76E49"/>
    <w:rsid w:val="00EA3D3C"/>
    <w:rsid w:val="00EC7CC3"/>
    <w:rsid w:val="00F46494"/>
    <w:rsid w:val="00F558AB"/>
    <w:rsid w:val="00F61D89"/>
    <w:rsid w:val="00F86ABB"/>
    <w:rsid w:val="00FA5828"/>
    <w:rsid w:val="00FD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qFormat/>
    <w:rsid w:val="00D80D99"/>
    <w:pPr>
      <w:numPr>
        <w:numId w:val="17"/>
      </w:numPr>
      <w:spacing w:before="240"/>
      <w:contextualSpacing w:val="0"/>
      <w:outlineLvl w:val="0"/>
    </w:pPr>
    <w:rPr>
      <w:b/>
    </w:rPr>
  </w:style>
  <w:style w:type="paragraph" w:styleId="Heading2">
    <w:name w:val="heading 2"/>
    <w:basedOn w:val="Heading1"/>
    <w:next w:val="Normal"/>
    <w:link w:val="Heading2Char"/>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rsid w:val="00147395"/>
    <w:rPr>
      <w:rFonts w:ascii="Times New Roman" w:eastAsia="Cambria" w:hAnsi="Times New Roman" w:cs="Times New Roman"/>
      <w:b/>
      <w:sz w:val="24"/>
      <w:szCs w:val="24"/>
    </w:rPr>
  </w:style>
  <w:style w:type="character" w:styleId="Emphasis">
    <w:name w:val="Emphasis"/>
    <w:basedOn w:val="DefaultParagraphFont"/>
    <w:qFormat/>
    <w:rsid w:val="00C724CF"/>
    <w:rPr>
      <w:rFonts w:ascii="Times New Roman" w:hAnsi="Times New Roman"/>
      <w:i/>
      <w:iCs/>
    </w:rPr>
  </w:style>
  <w:style w:type="paragraph" w:styleId="ListParagraph">
    <w:name w:val="List Paragraph"/>
    <w:basedOn w:val="Normal"/>
    <w:qFormat/>
    <w:rsid w:val="00310124"/>
    <w:pPr>
      <w:numPr>
        <w:numId w:val="14"/>
      </w:numPr>
      <w:ind w:left="1434" w:hanging="357"/>
      <w:contextualSpacing/>
    </w:pPr>
    <w:rPr>
      <w:rFonts w:eastAsia="Cambria" w:cs="Times New Roman"/>
      <w:szCs w:val="24"/>
    </w:rPr>
  </w:style>
  <w:style w:type="character" w:styleId="Strong">
    <w:name w:val="Strong"/>
    <w:basedOn w:val="DefaultParagraphFont"/>
    <w:qFormat/>
    <w:rsid w:val="00C724CF"/>
    <w:rPr>
      <w:rFonts w:ascii="Times New Roman" w:hAnsi="Times New Roman"/>
      <w:b/>
      <w:bCs/>
    </w:rPr>
  </w:style>
  <w:style w:type="paragraph" w:styleId="NormalWeb">
    <w:name w:val="Normal (Web)"/>
    <w:basedOn w:val="Normal"/>
    <w:link w:val="NormalWebChar"/>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nhideWhenUsed/>
    <w:rsid w:val="00117666"/>
    <w:pPr>
      <w:tabs>
        <w:tab w:val="center" w:pos="4844"/>
        <w:tab w:val="right" w:pos="9689"/>
      </w:tabs>
      <w:spacing w:after="0"/>
    </w:pPr>
  </w:style>
  <w:style w:type="character" w:customStyle="1" w:styleId="FooterChar">
    <w:name w:val="Footer Char"/>
    <w:basedOn w:val="DefaultParagraphFont"/>
    <w:link w:val="Footer"/>
    <w:rsid w:val="00117666"/>
  </w:style>
  <w:style w:type="table" w:styleId="TableGrid">
    <w:name w:val="Table Grid"/>
    <w:basedOn w:val="TableNormal"/>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17666"/>
    <w:pPr>
      <w:spacing w:after="0"/>
    </w:pPr>
    <w:rPr>
      <w:sz w:val="20"/>
      <w:szCs w:val="20"/>
    </w:rPr>
  </w:style>
  <w:style w:type="character" w:customStyle="1" w:styleId="FootnoteTextChar">
    <w:name w:val="Footnote Text Char"/>
    <w:basedOn w:val="DefaultParagraphFont"/>
    <w:link w:val="FootnoteText"/>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nhideWhenUsed/>
    <w:rsid w:val="00CD066B"/>
    <w:pPr>
      <w:spacing w:after="0"/>
    </w:pPr>
    <w:rPr>
      <w:sz w:val="20"/>
      <w:szCs w:val="20"/>
    </w:rPr>
  </w:style>
  <w:style w:type="character" w:customStyle="1" w:styleId="EndnoteTextChar">
    <w:name w:val="Endnote Text Char"/>
    <w:basedOn w:val="DefaultParagraphFont"/>
    <w:link w:val="EndnoteText"/>
    <w:rsid w:val="00CD066B"/>
    <w:rPr>
      <w:sz w:val="20"/>
      <w:szCs w:val="20"/>
    </w:rPr>
  </w:style>
  <w:style w:type="character" w:styleId="EndnoteReference">
    <w:name w:val="endnote reference"/>
    <w:basedOn w:val="DefaultParagraphFont"/>
    <w:semiHidden/>
    <w:unhideWhenUsed/>
    <w:rsid w:val="00CD066B"/>
    <w:rPr>
      <w:vertAlign w:val="superscript"/>
    </w:rPr>
  </w:style>
  <w:style w:type="character" w:styleId="CommentReference">
    <w:name w:val="annotation reference"/>
    <w:basedOn w:val="DefaultParagraphFont"/>
    <w:unhideWhenUsed/>
    <w:rsid w:val="00725A7D"/>
    <w:rPr>
      <w:sz w:val="16"/>
      <w:szCs w:val="16"/>
    </w:rPr>
  </w:style>
  <w:style w:type="paragraph" w:styleId="CommentText">
    <w:name w:val="annotation text"/>
    <w:basedOn w:val="Normal"/>
    <w:link w:val="CommentTextChar"/>
    <w:unhideWhenUsed/>
    <w:rsid w:val="00725A7D"/>
    <w:rPr>
      <w:sz w:val="20"/>
      <w:szCs w:val="20"/>
    </w:rPr>
  </w:style>
  <w:style w:type="character" w:customStyle="1" w:styleId="CommentTextChar">
    <w:name w:val="Comment Text Char"/>
    <w:basedOn w:val="DefaultParagraphFont"/>
    <w:link w:val="CommentText"/>
    <w:rsid w:val="00725A7D"/>
    <w:rPr>
      <w:sz w:val="20"/>
      <w:szCs w:val="20"/>
    </w:rPr>
  </w:style>
  <w:style w:type="paragraph" w:styleId="CommentSubject">
    <w:name w:val="annotation subject"/>
    <w:basedOn w:val="CommentText"/>
    <w:next w:val="CommentText"/>
    <w:link w:val="CommentSubjectChar"/>
    <w:unhideWhenUsed/>
    <w:rsid w:val="00725A7D"/>
    <w:rPr>
      <w:b/>
      <w:bCs/>
    </w:rPr>
  </w:style>
  <w:style w:type="character" w:customStyle="1" w:styleId="CommentSubjectChar">
    <w:name w:val="Comment Subject Char"/>
    <w:basedOn w:val="CommentTextChar"/>
    <w:link w:val="CommentSubject"/>
    <w:rsid w:val="00725A7D"/>
    <w:rPr>
      <w:b/>
      <w:bCs/>
      <w:sz w:val="20"/>
      <w:szCs w:val="20"/>
    </w:rPr>
  </w:style>
  <w:style w:type="character" w:styleId="Hyperlink">
    <w:name w:val="Hyperlink"/>
    <w:basedOn w:val="DefaultParagraphFont"/>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NormalWebChar">
    <w:name w:val="Normal (Web) Char"/>
    <w:basedOn w:val="DefaultParagraphFont"/>
    <w:link w:val="NormalWeb"/>
    <w:rsid w:val="009B3B59"/>
    <w:rPr>
      <w:rFonts w:ascii="Times New Roman" w:eastAsia="Times New Roman" w:hAnsi="Times New Roman" w:cs="Times New Roman"/>
      <w:sz w:val="24"/>
      <w:szCs w:val="24"/>
    </w:rPr>
  </w:style>
  <w:style w:type="paragraph" w:styleId="BodyText">
    <w:name w:val="Body Text"/>
    <w:basedOn w:val="Normal"/>
    <w:link w:val="BodyTextChar"/>
    <w:rsid w:val="009B3B59"/>
    <w:pPr>
      <w:spacing w:before="0" w:after="120"/>
    </w:pPr>
    <w:rPr>
      <w:rFonts w:eastAsia="Times New Roman" w:cs="Times New Roman"/>
      <w:color w:val="000000"/>
      <w:szCs w:val="20"/>
      <w:lang w:eastAsia="hu-HU"/>
    </w:rPr>
  </w:style>
  <w:style w:type="character" w:customStyle="1" w:styleId="BodyTextChar">
    <w:name w:val="Body Text Char"/>
    <w:basedOn w:val="DefaultParagraphFont"/>
    <w:link w:val="BodyText"/>
    <w:rsid w:val="009B3B59"/>
    <w:rPr>
      <w:rFonts w:ascii="Times New Roman" w:eastAsia="Times New Roman" w:hAnsi="Times New Roman" w:cs="Times New Roman"/>
      <w:color w:val="000000"/>
      <w:sz w:val="24"/>
      <w:szCs w:val="20"/>
      <w:lang w:eastAsia="hu-HU"/>
    </w:rPr>
  </w:style>
  <w:style w:type="paragraph" w:styleId="BodyText2">
    <w:name w:val="Body Text 2"/>
    <w:basedOn w:val="Normal"/>
    <w:link w:val="BodyText2Char"/>
    <w:rsid w:val="009B3B59"/>
    <w:pPr>
      <w:spacing w:before="0" w:after="120" w:line="480" w:lineRule="auto"/>
    </w:pPr>
    <w:rPr>
      <w:rFonts w:eastAsia="Times New Roman" w:cs="Times New Roman"/>
      <w:color w:val="000000"/>
      <w:szCs w:val="20"/>
      <w:lang w:eastAsia="hu-HU"/>
    </w:rPr>
  </w:style>
  <w:style w:type="character" w:customStyle="1" w:styleId="BodyText2Char">
    <w:name w:val="Body Text 2 Char"/>
    <w:basedOn w:val="DefaultParagraphFont"/>
    <w:link w:val="BodyText2"/>
    <w:rsid w:val="009B3B59"/>
    <w:rPr>
      <w:rFonts w:ascii="Times New Roman" w:eastAsia="Times New Roman" w:hAnsi="Times New Roman" w:cs="Times New Roman"/>
      <w:color w:val="000000"/>
      <w:sz w:val="24"/>
      <w:szCs w:val="20"/>
      <w:lang w:eastAsia="hu-HU"/>
    </w:rPr>
  </w:style>
  <w:style w:type="character" w:customStyle="1" w:styleId="address">
    <w:name w:val="address"/>
    <w:basedOn w:val="DefaultParagraphFont"/>
    <w:rsid w:val="009B3B59"/>
  </w:style>
  <w:style w:type="character" w:customStyle="1" w:styleId="volume">
    <w:name w:val="volume"/>
    <w:basedOn w:val="DefaultParagraphFont"/>
    <w:rsid w:val="009B3B59"/>
  </w:style>
  <w:style w:type="character" w:customStyle="1" w:styleId="issue">
    <w:name w:val="issue"/>
    <w:basedOn w:val="DefaultParagraphFont"/>
    <w:rsid w:val="009B3B59"/>
  </w:style>
  <w:style w:type="character" w:customStyle="1" w:styleId="pages">
    <w:name w:val="pages"/>
    <w:basedOn w:val="DefaultParagraphFont"/>
    <w:rsid w:val="009B3B59"/>
  </w:style>
  <w:style w:type="character" w:customStyle="1" w:styleId="journalname">
    <w:name w:val="journalname"/>
    <w:basedOn w:val="DefaultParagraphFont"/>
    <w:rsid w:val="009B3B59"/>
  </w:style>
  <w:style w:type="character" w:customStyle="1" w:styleId="yshortcuts">
    <w:name w:val="yshortcuts"/>
    <w:basedOn w:val="DefaultParagraphFont"/>
    <w:rsid w:val="009B3B59"/>
  </w:style>
  <w:style w:type="paragraph" w:customStyle="1" w:styleId="Default">
    <w:name w:val="Default"/>
    <w:rsid w:val="009B3B59"/>
    <w:pPr>
      <w:autoSpaceDE w:val="0"/>
      <w:autoSpaceDN w:val="0"/>
      <w:adjustRightInd w:val="0"/>
      <w:spacing w:after="0" w:line="240" w:lineRule="auto"/>
    </w:pPr>
    <w:rPr>
      <w:rFonts w:ascii="Times New Roman" w:eastAsia="Times New Roman" w:hAnsi="Times New Roman" w:cs="Times New Roman"/>
      <w:color w:val="000000"/>
      <w:sz w:val="24"/>
      <w:szCs w:val="24"/>
      <w:lang w:val="hu-HU" w:eastAsia="hu-HU"/>
    </w:rPr>
  </w:style>
  <w:style w:type="paragraph" w:customStyle="1" w:styleId="source1">
    <w:name w:val="source1"/>
    <w:basedOn w:val="Normal"/>
    <w:rsid w:val="009B3B59"/>
    <w:pPr>
      <w:spacing w:after="0" w:line="240" w:lineRule="atLeast"/>
      <w:ind w:left="825"/>
    </w:pPr>
    <w:rPr>
      <w:rFonts w:eastAsia="Times New Roman" w:cs="Times New Roman"/>
      <w:sz w:val="18"/>
      <w:szCs w:val="18"/>
      <w:lang w:val="hu-HU" w:eastAsia="hu-HU"/>
    </w:rPr>
  </w:style>
  <w:style w:type="paragraph" w:customStyle="1" w:styleId="authors1">
    <w:name w:val="authors1"/>
    <w:basedOn w:val="Normal"/>
    <w:rsid w:val="009B3B59"/>
    <w:pPr>
      <w:spacing w:before="72" w:after="0" w:line="240" w:lineRule="atLeast"/>
      <w:ind w:left="825"/>
    </w:pPr>
    <w:rPr>
      <w:rFonts w:eastAsia="Times New Roman" w:cs="Times New Roman"/>
      <w:sz w:val="22"/>
      <w:lang w:val="hu-HU" w:eastAsia="hu-HU"/>
    </w:rPr>
  </w:style>
  <w:style w:type="paragraph" w:customStyle="1" w:styleId="title1">
    <w:name w:val="title1"/>
    <w:basedOn w:val="Normal"/>
    <w:rsid w:val="009B3B59"/>
    <w:pPr>
      <w:spacing w:before="100" w:beforeAutospacing="1" w:after="0"/>
      <w:ind w:left="825"/>
    </w:pPr>
    <w:rPr>
      <w:rFonts w:eastAsia="Times New Roman" w:cs="Times New Roman"/>
      <w:sz w:val="22"/>
      <w:lang w:val="hu-HU" w:eastAsia="hu-HU"/>
    </w:rPr>
  </w:style>
  <w:style w:type="character" w:styleId="PageNumber">
    <w:name w:val="page number"/>
    <w:basedOn w:val="DefaultParagraphFont"/>
    <w:rsid w:val="009B3B59"/>
  </w:style>
  <w:style w:type="paragraph" w:customStyle="1" w:styleId="Div">
    <w:name w:val="Div"/>
    <w:basedOn w:val="Normal"/>
    <w:rsid w:val="009B3B59"/>
    <w:pPr>
      <w:shd w:val="solid" w:color="FFFFFF" w:fill="auto"/>
      <w:spacing w:before="0" w:after="0"/>
    </w:pPr>
    <w:rPr>
      <w:rFonts w:eastAsia="Times New Roman" w:cs="Times New Roman"/>
      <w:snapToGrid w:val="0"/>
      <w:color w:val="000000"/>
      <w:szCs w:val="24"/>
      <w:shd w:val="solid" w:color="FFFFFF" w:fill="auto"/>
      <w:lang w:val="ru-RU" w:eastAsia="hu-HU"/>
    </w:rPr>
  </w:style>
  <w:style w:type="character" w:customStyle="1" w:styleId="apple-style-span">
    <w:name w:val="apple-style-span"/>
    <w:basedOn w:val="DefaultParagraphFont"/>
    <w:rsid w:val="009B3B59"/>
  </w:style>
  <w:style w:type="paragraph" w:customStyle="1" w:styleId="citation">
    <w:name w:val="citation"/>
    <w:basedOn w:val="Normal"/>
    <w:rsid w:val="009B3B59"/>
    <w:pPr>
      <w:spacing w:before="100" w:beforeAutospacing="1" w:after="100" w:afterAutospacing="1"/>
    </w:pPr>
    <w:rPr>
      <w:rFonts w:eastAsia="Times New Roman" w:cs="Times New Roman"/>
      <w:szCs w:val="24"/>
      <w:lang w:val="hu-HU" w:eastAsia="hu-HU"/>
    </w:rPr>
  </w:style>
  <w:style w:type="paragraph" w:customStyle="1" w:styleId="authlist">
    <w:name w:val="auth_list"/>
    <w:basedOn w:val="Normal"/>
    <w:rsid w:val="009B3B59"/>
    <w:pPr>
      <w:spacing w:before="100" w:beforeAutospacing="1" w:after="100" w:afterAutospacing="1"/>
    </w:pPr>
    <w:rPr>
      <w:rFonts w:eastAsia="Times New Roman" w:cs="Times New Roman"/>
      <w:szCs w:val="24"/>
      <w:lang w:val="hu-HU" w:eastAsia="hu-HU"/>
    </w:rPr>
  </w:style>
  <w:style w:type="character" w:customStyle="1" w:styleId="title21">
    <w:name w:val="title21"/>
    <w:basedOn w:val="DefaultParagraphFont"/>
    <w:rsid w:val="009B3B59"/>
    <w:rPr>
      <w:rFonts w:ascii="Verdana" w:hAnsi="Verdana" w:hint="default"/>
      <w:b/>
      <w:bCs/>
      <w:color w:val="666666"/>
      <w:sz w:val="18"/>
      <w:szCs w:val="18"/>
    </w:rPr>
  </w:style>
  <w:style w:type="paragraph" w:styleId="HTMLPreformatted">
    <w:name w:val="HTML Preformatted"/>
    <w:basedOn w:val="Normal"/>
    <w:link w:val="HTMLPreformattedChar"/>
    <w:uiPriority w:val="99"/>
    <w:rsid w:val="009B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rsid w:val="009B3B59"/>
    <w:rPr>
      <w:rFonts w:ascii="Courier New" w:eastAsia="Times New Roman" w:hAnsi="Courier New" w:cs="Courier New"/>
      <w:sz w:val="20"/>
      <w:szCs w:val="20"/>
      <w:lang w:val="hu-HU" w:eastAsia="hu-HU"/>
    </w:rPr>
  </w:style>
  <w:style w:type="paragraph" w:customStyle="1" w:styleId="EndNoteBibliographyTitle">
    <w:name w:val="EndNote Bibliography Title"/>
    <w:basedOn w:val="Normal"/>
    <w:link w:val="EndNoteBibliographyTitleChar"/>
    <w:rsid w:val="009B3B59"/>
    <w:pPr>
      <w:spacing w:before="0" w:after="0"/>
      <w:jc w:val="center"/>
    </w:pPr>
    <w:rPr>
      <w:rFonts w:eastAsia="Times New Roman" w:cs="Times New Roman"/>
      <w:noProof/>
      <w:color w:val="000000"/>
      <w:szCs w:val="20"/>
      <w:lang w:val="hu-HU" w:eastAsia="hu-HU"/>
    </w:rPr>
  </w:style>
  <w:style w:type="character" w:customStyle="1" w:styleId="EndNoteBibliographyTitleChar">
    <w:name w:val="EndNote Bibliography Title Char"/>
    <w:basedOn w:val="NormalWebChar"/>
    <w:link w:val="EndNoteBibliographyTitle"/>
    <w:rsid w:val="009B3B59"/>
    <w:rPr>
      <w:rFonts w:ascii="Times New Roman" w:eastAsia="Times New Roman" w:hAnsi="Times New Roman" w:cs="Times New Roman"/>
      <w:noProof/>
      <w:color w:val="000000"/>
      <w:sz w:val="24"/>
      <w:szCs w:val="20"/>
      <w:lang w:val="hu-HU" w:eastAsia="hu-HU"/>
    </w:rPr>
  </w:style>
  <w:style w:type="paragraph" w:customStyle="1" w:styleId="EndNoteBibliography">
    <w:name w:val="EndNote Bibliography"/>
    <w:basedOn w:val="Normal"/>
    <w:link w:val="EndNoteBibliographyChar"/>
    <w:rsid w:val="009B3B59"/>
    <w:pPr>
      <w:spacing w:before="0" w:after="0"/>
    </w:pPr>
    <w:rPr>
      <w:rFonts w:eastAsia="Times New Roman" w:cs="Times New Roman"/>
      <w:noProof/>
      <w:color w:val="000000"/>
      <w:szCs w:val="20"/>
      <w:lang w:val="hu-HU" w:eastAsia="hu-HU"/>
    </w:rPr>
  </w:style>
  <w:style w:type="character" w:customStyle="1" w:styleId="EndNoteBibliographyChar">
    <w:name w:val="EndNote Bibliography Char"/>
    <w:basedOn w:val="NormalWebChar"/>
    <w:link w:val="EndNoteBibliography"/>
    <w:rsid w:val="009B3B59"/>
    <w:rPr>
      <w:rFonts w:ascii="Times New Roman" w:eastAsia="Times New Roman" w:hAnsi="Times New Roman" w:cs="Times New Roman"/>
      <w:noProof/>
      <w:color w:val="000000"/>
      <w:sz w:val="24"/>
      <w:szCs w:val="20"/>
      <w:lang w:val="hu-HU" w:eastAsia="hu-HU"/>
    </w:rPr>
  </w:style>
  <w:style w:type="paragraph" w:styleId="Bibliography">
    <w:name w:val="Bibliography"/>
    <w:basedOn w:val="Normal"/>
    <w:next w:val="Normal"/>
    <w:uiPriority w:val="37"/>
    <w:unhideWhenUsed/>
    <w:rsid w:val="009B3B59"/>
    <w:pPr>
      <w:tabs>
        <w:tab w:val="left" w:pos="504"/>
      </w:tabs>
      <w:spacing w:before="0"/>
      <w:ind w:left="504" w:hanging="504"/>
    </w:pPr>
    <w:rPr>
      <w:rFonts w:eastAsia="Times New Roman" w:cs="Times New Roman"/>
      <w:color w:val="000000"/>
      <w:szCs w:val="20"/>
      <w:lang w:eastAsia="hu-HU"/>
    </w:rPr>
  </w:style>
  <w:style w:type="paragraph" w:customStyle="1" w:styleId="MDPI62Acknowledgments">
    <w:name w:val="MDPI_6.2_Acknowledgments"/>
    <w:qFormat/>
    <w:rsid w:val="009B3B59"/>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character" w:customStyle="1" w:styleId="e24kjd">
    <w:name w:val="e24kjd"/>
    <w:basedOn w:val="DefaultParagraphFont"/>
    <w:rsid w:val="009B3B59"/>
  </w:style>
  <w:style w:type="character" w:customStyle="1" w:styleId="3oh-">
    <w:name w:val="_3oh-"/>
    <w:basedOn w:val="DefaultParagraphFont"/>
    <w:rsid w:val="009B3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2932431">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zsi@oncol.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tovari@yahoo.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2381E44-3394-490B-9E0A-B5BF38E2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0</TotalTime>
  <Pages>9</Pages>
  <Words>1746</Words>
  <Characters>9955</Characters>
  <Application>Microsoft Office Word</Application>
  <DocSecurity>0</DocSecurity>
  <Lines>82</Lines>
  <Paragraphs>23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Cserepes Mihaly</dc:creator>
  <cp:keywords/>
  <dc:description/>
  <cp:lastModifiedBy>Anisa Fazal</cp:lastModifiedBy>
  <cp:revision>6</cp:revision>
  <cp:lastPrinted>2013-10-03T12:51:00Z</cp:lastPrinted>
  <dcterms:created xsi:type="dcterms:W3CDTF">2020-09-08T11:31:00Z</dcterms:created>
  <dcterms:modified xsi:type="dcterms:W3CDTF">2021-04-07T15:32:00Z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id="lX3rmCCe"/&gt;&lt;style id="http://www.zotero.org/styles/vancouver" locale="hu-HU" hasBibliography="1" bibliographyStyleHasBeenSet="1"/&gt;&lt;prefs&gt;&lt;pref name="fieldType" value="Field"/&gt;&lt;/prefs&gt;&lt;/data&gt;</vt:lpwstr>
  </property>
</Properties>
</file>